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版本号：SDZC2026-03420260414001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2025年中央财政农业经营主体能力提升资金（基层农技推广体系改革与建设）项目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SDZC2026-034</w:t>
      </w:r>
      <w:r>
        <w:br/>
      </w:r>
      <w:r>
        <w:br/>
      </w:r>
      <w:r>
        <w:br/>
      </w:r>
    </w:p>
    <w:p>
      <w:pPr>
        <w:pStyle w:val="null3"/>
        <w:jc w:val="center"/>
        <w:outlineLvl w:val="2"/>
      </w:pPr>
      <w:r>
        <w:rPr>
          <w:rFonts w:ascii="仿宋_GB2312" w:hAnsi="仿宋_GB2312" w:cs="仿宋_GB2312" w:eastAsia="仿宋_GB2312"/>
          <w:sz w:val="28"/>
          <w:b/>
        </w:rPr>
        <w:t>西安市蓝田县农业技术推广中心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西安市蓝田县农业技术推广中心</w:t>
      </w:r>
      <w:r>
        <w:rPr>
          <w:rFonts w:ascii="仿宋_GB2312" w:hAnsi="仿宋_GB2312" w:cs="仿宋_GB2312" w:eastAsia="仿宋_GB2312"/>
        </w:rPr>
        <w:t>委托，拟对</w:t>
      </w:r>
      <w:r>
        <w:rPr>
          <w:rFonts w:ascii="仿宋_GB2312" w:hAnsi="仿宋_GB2312" w:cs="仿宋_GB2312" w:eastAsia="仿宋_GB2312"/>
        </w:rPr>
        <w:t>2025年中央财政农业经营主体能力提升资金（基层农技推广体系改革与建设）项目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2025年中央财政农业经营主体能力提升资金（基层农技推广体系改革与建设）项目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采购肥料等一批。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3、税收缴纳证明：税收缴纳证明：提供2025年4月至今任意一个月的缴纳凭据（增值税、企业所得税至少一种）；（依法免税的供应商应提供相关文件证明）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4、社会保障资金缴纳证明：社会保障资金缴纳证明：提供2025年11月至今任意一个月的社保缴纳凭据或社保机构开具的社会保险参保缴纳情况证明；（依法不需要缴纳社会保障资金的供应商应提供相关证明）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8、提供生产厂家有效期内的肥料登记证或农业农村部登记备案证明：提供生产厂家有效期内的肥料登记证或农业农村部登记备案证明；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3、税收缴纳证明：税收缴纳证明：提供2025年4月至今任意一个月的缴纳凭据（增值税、企业所得税至少一种）；（依法免税的供应商应提供相关文件证明）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4、社会保障资金缴纳证明：社会保障资金缴纳证明：提供2025年11月至今任意一个月的社保缴纳凭据或社保机构开具的社会保险参保缴纳情况证明；（依法不需要缴纳社会保障资金的供应商应提供相关证明）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8、提供生产厂家有效期内的肥料登记证或农业农村部登记备案证明：提供生产厂家有效期内的肥料登记证或农业农村部登记备案证明；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3、税收缴纳证明：税收缴纳证明：提供2025年4月至今任意一个月的缴纳凭据（增值税、企业所得税至少一种）；（依法免税的供应商应提供相关文件证明）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4、社会保障资金缴纳证明：社会保障资金缴纳证明：提供2025年11月至今任意一个月的社保缴纳凭据或社保机构开具的社会保险参保缴纳情况证明；（依法不需要缴纳社会保障资金的供应商应提供相关证明）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8、提供生产厂家有效期内的肥料登记证或农业农村部登记备案证明：提供生产厂家有效期内的肥料登记证或农业农村部登记备案证明；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刘彬博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18693400801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采购包1：279,000.00元</w:t>
            </w:r>
          </w:p>
          <w:p>
            <w:pPr>
              <w:pStyle w:val="null3"/>
            </w:pPr>
            <w:r>
              <w:rPr>
                <w:rFonts w:ascii="仿宋_GB2312" w:hAnsi="仿宋_GB2312" w:cs="仿宋_GB2312" w:eastAsia="仿宋_GB2312"/>
              </w:rPr>
              <w:t>采购包2：318,000.00元</w:t>
            </w:r>
          </w:p>
          <w:p>
            <w:pPr>
              <w:pStyle w:val="null3"/>
            </w:pPr>
            <w:r>
              <w:rPr>
                <w:rFonts w:ascii="仿宋_GB2312" w:hAnsi="仿宋_GB2312" w:cs="仿宋_GB2312" w:eastAsia="仿宋_GB2312"/>
              </w:rPr>
              <w:t>采购包3：273,000.00元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2.开户行：西安银行股份有限公司文景路支行 3.帐 号：707011510000013522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西安市蓝田县农业技术推广中心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符合国家的标准和有关规定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符合国家的标准和有关规定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符合国家的标准和有关规定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联系人：宋芳芳（4号工位）、王涛、魏蕾</w:t>
      </w:r>
    </w:p>
    <w:p>
      <w:pPr>
        <w:pStyle w:val="null3"/>
      </w:pPr>
      <w:r>
        <w:rPr>
          <w:rFonts w:ascii="仿宋_GB2312" w:hAnsi="仿宋_GB2312" w:cs="仿宋_GB2312" w:eastAsia="仿宋_GB2312"/>
        </w:rPr>
        <w:t>联系电话：029-86673953/86518381/89299829/89293231转804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采购肥料等一批。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279,000.00</w:t>
      </w:r>
    </w:p>
    <w:p>
      <w:pPr>
        <w:pStyle w:val="null3"/>
      </w:pPr>
      <w:r>
        <w:rPr>
          <w:rFonts w:ascii="仿宋_GB2312" w:hAnsi="仿宋_GB2312" w:cs="仿宋_GB2312" w:eastAsia="仿宋_GB2312"/>
        </w:rPr>
        <w:t>采购包最高限价（元）: 279,000.00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配送汤峪 小寨 焦岱等镇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配送前卫 安村 孟村等镇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273,000.00</w:t>
      </w:r>
    </w:p>
    <w:p>
      <w:pPr>
        <w:pStyle w:val="null3"/>
      </w:pPr>
      <w:r>
        <w:rPr>
          <w:rFonts w:ascii="仿宋_GB2312" w:hAnsi="仿宋_GB2312" w:cs="仿宋_GB2312" w:eastAsia="仿宋_GB2312"/>
        </w:rPr>
        <w:t>采购包最高限价（元）: 273,000.00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配送洩湖等9个镇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标的名称：配送汤峪 小寨 焦岱等镇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521"/>
              <w:gridCol w:w="1417"/>
              <w:gridCol w:w="356"/>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技术指标要求</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r>
                    <w:rPr>
                      <w:rFonts w:ascii="仿宋_GB2312" w:hAnsi="仿宋_GB2312" w:cs="仿宋_GB2312" w:eastAsia="仿宋_GB2312"/>
                      <w:sz w:val="24"/>
                    </w:rPr>
                    <w:t>缓</w:t>
                  </w:r>
                  <w:r>
                    <w:rPr>
                      <w:rFonts w:ascii="仿宋_GB2312" w:hAnsi="仿宋_GB2312" w:cs="仿宋_GB2312" w:eastAsia="仿宋_GB2312"/>
                      <w:sz w:val="24"/>
                    </w:rPr>
                    <w:t>/</w:t>
                  </w:r>
                  <w:r>
                    <w:rPr>
                      <w:rFonts w:ascii="仿宋_GB2312" w:hAnsi="仿宋_GB2312" w:cs="仿宋_GB2312" w:eastAsia="仿宋_GB2312"/>
                      <w:sz w:val="24"/>
                    </w:rPr>
                    <w:t>控释肥</w:t>
                  </w:r>
                </w:p>
                <w:p>
                  <w:pPr>
                    <w:pStyle w:val="null3"/>
                    <w:jc w:val="center"/>
                  </w:pPr>
                  <w:r>
                    <w:rPr>
                      <w:rFonts w:ascii="仿宋_GB2312" w:hAnsi="仿宋_GB2312" w:cs="仿宋_GB2312" w:eastAsia="仿宋_GB2312"/>
                      <w:sz w:val="19"/>
                    </w:rPr>
                    <w:t>（核心产品）</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氮磷钾：</w:t>
                  </w:r>
                  <w:r>
                    <w:rPr>
                      <w:rFonts w:ascii="仿宋_GB2312" w:hAnsi="仿宋_GB2312" w:cs="仿宋_GB2312" w:eastAsia="仿宋_GB2312"/>
                      <w:sz w:val="24"/>
                    </w:rPr>
                    <w:t>≥40%</w:t>
                  </w:r>
                </w:p>
                <w:p>
                  <w:pPr>
                    <w:pStyle w:val="null3"/>
                    <w:ind w:firstLine="240"/>
                    <w:jc w:val="center"/>
                  </w:pPr>
                  <w:r>
                    <w:rPr>
                      <w:rFonts w:ascii="仿宋_GB2312" w:hAnsi="仿宋_GB2312" w:cs="仿宋_GB2312" w:eastAsia="仿宋_GB2312"/>
                      <w:sz w:val="24"/>
                    </w:rPr>
                    <w:t>包装</w:t>
                  </w:r>
                  <w:r>
                    <w:rPr>
                      <w:rFonts w:ascii="仿宋_GB2312" w:hAnsi="仿宋_GB2312" w:cs="仿宋_GB2312" w:eastAsia="仿宋_GB2312"/>
                      <w:sz w:val="24"/>
                    </w:rPr>
                    <w:t>：</w:t>
                  </w:r>
                  <w:r>
                    <w:rPr>
                      <w:rFonts w:ascii="仿宋_GB2312" w:hAnsi="仿宋_GB2312" w:cs="仿宋_GB2312" w:eastAsia="仿宋_GB2312"/>
                      <w:sz w:val="24"/>
                    </w:rPr>
                    <w:t>40kg/袋</w:t>
                  </w:r>
                </w:p>
                <w:p>
                  <w:pPr>
                    <w:pStyle w:val="null3"/>
                    <w:ind w:firstLine="240"/>
                    <w:jc w:val="center"/>
                  </w:pPr>
                  <w:r>
                    <w:rPr>
                      <w:rFonts w:ascii="仿宋_GB2312" w:hAnsi="仿宋_GB2312" w:cs="仿宋_GB2312" w:eastAsia="仿宋_GB2312"/>
                      <w:sz w:val="24"/>
                    </w:rPr>
                    <w:t>执行标准：</w:t>
                  </w:r>
                  <w:r>
                    <w:rPr>
                      <w:rFonts w:ascii="仿宋_GB2312" w:hAnsi="仿宋_GB2312" w:cs="仿宋_GB2312" w:eastAsia="仿宋_GB2312"/>
                      <w:sz w:val="24"/>
                    </w:rPr>
                    <w:t>GB/T23348-2009</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大量元素水溶肥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r>
                    <w:rPr>
                      <w:rFonts w:ascii="仿宋_GB2312" w:hAnsi="仿宋_GB2312" w:cs="仿宋_GB2312" w:eastAsia="仿宋_GB2312"/>
                      <w:sz w:val="24"/>
                    </w:rPr>
                    <w:t>≥20-20-20（不含氯）（粉剂）（20kg/袋）</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NY/T1107-2010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6.14吨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氨基酸水溶肥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游离氨基酸</w:t>
                  </w:r>
                  <w:r>
                    <w:rPr>
                      <w:rFonts w:ascii="仿宋_GB2312" w:hAnsi="仿宋_GB2312" w:cs="仿宋_GB2312" w:eastAsia="仿宋_GB2312"/>
                      <w:sz w:val="24"/>
                    </w:rPr>
                    <w:t>≥100g/L</w:t>
                  </w:r>
                </w:p>
                <w:p>
                  <w:pPr>
                    <w:pStyle w:val="null3"/>
                    <w:jc w:val="center"/>
                  </w:pPr>
                  <w:r>
                    <w:rPr>
                      <w:rFonts w:ascii="仿宋_GB2312" w:hAnsi="仿宋_GB2312" w:cs="仿宋_GB2312" w:eastAsia="仿宋_GB2312"/>
                      <w:sz w:val="24"/>
                    </w:rPr>
                    <w:t>微量元素</w:t>
                  </w:r>
                  <w:r>
                    <w:rPr>
                      <w:rFonts w:ascii="仿宋_GB2312" w:hAnsi="仿宋_GB2312" w:cs="仿宋_GB2312" w:eastAsia="仿宋_GB2312"/>
                      <w:sz w:val="24"/>
                    </w:rPr>
                    <w:t>≥20g/L（不含氯）（水剂）（5kg/桶）</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NY1429-2010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平衡性复合肥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p>
                <w:p>
                  <w:pPr>
                    <w:pStyle w:val="null3"/>
                    <w:jc w:val="center"/>
                  </w:pPr>
                  <w:r>
                    <w:rPr>
                      <w:rFonts w:ascii="仿宋_GB2312" w:hAnsi="仿宋_GB2312" w:cs="仿宋_GB2312" w:eastAsia="仿宋_GB2312"/>
                      <w:sz w:val="24"/>
                    </w:rPr>
                    <w:t>17-17-17（低氯或不含氯）（颗粒）</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GB/T15063-2020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10吨</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w:t>
            </w:r>
            <w:r>
              <w:rPr>
                <w:rFonts w:ascii="仿宋_GB2312" w:hAnsi="仿宋_GB2312" w:cs="仿宋_GB2312" w:eastAsia="仿宋_GB2312"/>
                <w:sz w:val="21"/>
              </w:rPr>
              <w:t>技术参数与性能指标为实质性响应内容，不得负偏离。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标的名称：配送前卫 安村 孟村等镇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526"/>
              <w:gridCol w:w="1417"/>
              <w:gridCol w:w="352"/>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技术指标要求</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r>
                    <w:rPr>
                      <w:rFonts w:ascii="仿宋_GB2312" w:hAnsi="仿宋_GB2312" w:cs="仿宋_GB2312" w:eastAsia="仿宋_GB2312"/>
                      <w:sz w:val="24"/>
                    </w:rPr>
                    <w:t>缓</w:t>
                  </w:r>
                  <w:r>
                    <w:rPr>
                      <w:rFonts w:ascii="仿宋_GB2312" w:hAnsi="仿宋_GB2312" w:cs="仿宋_GB2312" w:eastAsia="仿宋_GB2312"/>
                      <w:sz w:val="24"/>
                    </w:rPr>
                    <w:t>/</w:t>
                  </w:r>
                  <w:r>
                    <w:rPr>
                      <w:rFonts w:ascii="仿宋_GB2312" w:hAnsi="仿宋_GB2312" w:cs="仿宋_GB2312" w:eastAsia="仿宋_GB2312"/>
                      <w:sz w:val="24"/>
                    </w:rPr>
                    <w:t>控释肥</w:t>
                  </w:r>
                </w:p>
                <w:p>
                  <w:pPr>
                    <w:pStyle w:val="null3"/>
                    <w:jc w:val="center"/>
                  </w:pPr>
                  <w:r>
                    <w:rPr>
                      <w:rFonts w:ascii="仿宋_GB2312" w:hAnsi="仿宋_GB2312" w:cs="仿宋_GB2312" w:eastAsia="仿宋_GB2312"/>
                      <w:sz w:val="19"/>
                    </w:rPr>
                    <w:t>（核心产品）</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氮磷钾：</w:t>
                  </w:r>
                  <w:r>
                    <w:rPr>
                      <w:rFonts w:ascii="仿宋_GB2312" w:hAnsi="仿宋_GB2312" w:cs="仿宋_GB2312" w:eastAsia="仿宋_GB2312"/>
                      <w:sz w:val="24"/>
                    </w:rPr>
                    <w:t>≥40%</w:t>
                  </w:r>
                </w:p>
                <w:p>
                  <w:pPr>
                    <w:pStyle w:val="null3"/>
                    <w:ind w:firstLine="240"/>
                    <w:jc w:val="center"/>
                  </w:pPr>
                  <w:r>
                    <w:rPr>
                      <w:rFonts w:ascii="仿宋_GB2312" w:hAnsi="仿宋_GB2312" w:cs="仿宋_GB2312" w:eastAsia="仿宋_GB2312"/>
                      <w:sz w:val="24"/>
                    </w:rPr>
                    <w:t>包装</w:t>
                  </w:r>
                  <w:r>
                    <w:rPr>
                      <w:rFonts w:ascii="仿宋_GB2312" w:hAnsi="仿宋_GB2312" w:cs="仿宋_GB2312" w:eastAsia="仿宋_GB2312"/>
                      <w:sz w:val="24"/>
                    </w:rPr>
                    <w:t>40kg/袋</w:t>
                  </w:r>
                </w:p>
                <w:p>
                  <w:pPr>
                    <w:pStyle w:val="null3"/>
                    <w:ind w:firstLine="240"/>
                    <w:jc w:val="center"/>
                  </w:pPr>
                  <w:r>
                    <w:rPr>
                      <w:rFonts w:ascii="仿宋_GB2312" w:hAnsi="仿宋_GB2312" w:cs="仿宋_GB2312" w:eastAsia="仿宋_GB2312"/>
                      <w:sz w:val="24"/>
                    </w:rPr>
                    <w:t>执行标准：</w:t>
                  </w:r>
                  <w:r>
                    <w:rPr>
                      <w:rFonts w:ascii="仿宋_GB2312" w:hAnsi="仿宋_GB2312" w:cs="仿宋_GB2312" w:eastAsia="仿宋_GB2312"/>
                      <w:sz w:val="24"/>
                    </w:rPr>
                    <w:t>GB/T23348-2009</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大量元素水溶肥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r>
                    <w:rPr>
                      <w:rFonts w:ascii="仿宋_GB2312" w:hAnsi="仿宋_GB2312" w:cs="仿宋_GB2312" w:eastAsia="仿宋_GB2312"/>
                      <w:sz w:val="24"/>
                    </w:rPr>
                    <w:t>≥20-20-20（不含氯）（粉剂）（20kg/袋）</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NY/T1107-2010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6.14吨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氨基酸水溶肥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游离氨基酸</w:t>
                  </w:r>
                  <w:r>
                    <w:rPr>
                      <w:rFonts w:ascii="仿宋_GB2312" w:hAnsi="仿宋_GB2312" w:cs="仿宋_GB2312" w:eastAsia="仿宋_GB2312"/>
                      <w:sz w:val="24"/>
                    </w:rPr>
                    <w:t>≥100g/L</w:t>
                  </w:r>
                </w:p>
                <w:p>
                  <w:pPr>
                    <w:pStyle w:val="null3"/>
                    <w:jc w:val="center"/>
                  </w:pPr>
                  <w:r>
                    <w:rPr>
                      <w:rFonts w:ascii="仿宋_GB2312" w:hAnsi="仿宋_GB2312" w:cs="仿宋_GB2312" w:eastAsia="仿宋_GB2312"/>
                      <w:sz w:val="24"/>
                    </w:rPr>
                    <w:t>微量元素</w:t>
                  </w:r>
                  <w:r>
                    <w:rPr>
                      <w:rFonts w:ascii="仿宋_GB2312" w:hAnsi="仿宋_GB2312" w:cs="仿宋_GB2312" w:eastAsia="仿宋_GB2312"/>
                      <w:sz w:val="24"/>
                    </w:rPr>
                    <w:t>≥20g/L（不含氯）（水剂）（5kg/桶）</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NY1429-2010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平衡性复合肥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p>
                <w:p>
                  <w:pPr>
                    <w:pStyle w:val="null3"/>
                    <w:jc w:val="center"/>
                  </w:pPr>
                  <w:r>
                    <w:rPr>
                      <w:rFonts w:ascii="仿宋_GB2312" w:hAnsi="仿宋_GB2312" w:cs="仿宋_GB2312" w:eastAsia="仿宋_GB2312"/>
                      <w:sz w:val="24"/>
                    </w:rPr>
                    <w:t>17-17-17（低氯或不含氯）（颗粒）</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GB/T15063-2020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13.76吨</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注：技术参数与性能指标为实质性响应内容，不得负偏离。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标的名称：配送洩湖等9个镇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504"/>
              <w:gridCol w:w="1443"/>
              <w:gridCol w:w="347"/>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技术指标要求</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r>
                    <w:rPr>
                      <w:rFonts w:ascii="仿宋_GB2312" w:hAnsi="仿宋_GB2312" w:cs="仿宋_GB2312" w:eastAsia="仿宋_GB2312"/>
                      <w:sz w:val="24"/>
                    </w:rPr>
                    <w:t>缓</w:t>
                  </w:r>
                  <w:r>
                    <w:rPr>
                      <w:rFonts w:ascii="仿宋_GB2312" w:hAnsi="仿宋_GB2312" w:cs="仿宋_GB2312" w:eastAsia="仿宋_GB2312"/>
                      <w:sz w:val="24"/>
                    </w:rPr>
                    <w:t>/</w:t>
                  </w:r>
                  <w:r>
                    <w:rPr>
                      <w:rFonts w:ascii="仿宋_GB2312" w:hAnsi="仿宋_GB2312" w:cs="仿宋_GB2312" w:eastAsia="仿宋_GB2312"/>
                      <w:sz w:val="24"/>
                    </w:rPr>
                    <w:t>控释肥</w:t>
                  </w:r>
                </w:p>
                <w:p>
                  <w:pPr>
                    <w:pStyle w:val="null3"/>
                    <w:jc w:val="center"/>
                  </w:pPr>
                  <w:r>
                    <w:rPr>
                      <w:rFonts w:ascii="仿宋_GB2312" w:hAnsi="仿宋_GB2312" w:cs="仿宋_GB2312" w:eastAsia="仿宋_GB2312"/>
                      <w:sz w:val="19"/>
                    </w:rPr>
                    <w:t>（核心产品）</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氮磷钾：</w:t>
                  </w:r>
                  <w:r>
                    <w:rPr>
                      <w:rFonts w:ascii="仿宋_GB2312" w:hAnsi="仿宋_GB2312" w:cs="仿宋_GB2312" w:eastAsia="仿宋_GB2312"/>
                      <w:sz w:val="24"/>
                    </w:rPr>
                    <w:t>≥40%</w:t>
                  </w:r>
                </w:p>
                <w:p>
                  <w:pPr>
                    <w:pStyle w:val="null3"/>
                    <w:ind w:firstLine="240"/>
                    <w:jc w:val="center"/>
                  </w:pPr>
                  <w:r>
                    <w:rPr>
                      <w:rFonts w:ascii="仿宋_GB2312" w:hAnsi="仿宋_GB2312" w:cs="仿宋_GB2312" w:eastAsia="仿宋_GB2312"/>
                      <w:sz w:val="24"/>
                    </w:rPr>
                    <w:t>包装</w:t>
                  </w:r>
                  <w:r>
                    <w:rPr>
                      <w:rFonts w:ascii="仿宋_GB2312" w:hAnsi="仿宋_GB2312" w:cs="仿宋_GB2312" w:eastAsia="仿宋_GB2312"/>
                      <w:sz w:val="24"/>
                    </w:rPr>
                    <w:t>：</w:t>
                  </w:r>
                  <w:r>
                    <w:rPr>
                      <w:rFonts w:ascii="仿宋_GB2312" w:hAnsi="仿宋_GB2312" w:cs="仿宋_GB2312" w:eastAsia="仿宋_GB2312"/>
                      <w:sz w:val="24"/>
                    </w:rPr>
                    <w:t>40kg/袋</w:t>
                  </w:r>
                </w:p>
                <w:p>
                  <w:pPr>
                    <w:pStyle w:val="null3"/>
                    <w:ind w:firstLine="240"/>
                    <w:jc w:val="center"/>
                  </w:pPr>
                  <w:r>
                    <w:rPr>
                      <w:rFonts w:ascii="仿宋_GB2312" w:hAnsi="仿宋_GB2312" w:cs="仿宋_GB2312" w:eastAsia="仿宋_GB2312"/>
                      <w:sz w:val="24"/>
                    </w:rPr>
                    <w:t>执行标准：</w:t>
                  </w:r>
                  <w:r>
                    <w:rPr>
                      <w:rFonts w:ascii="仿宋_GB2312" w:hAnsi="仿宋_GB2312" w:cs="仿宋_GB2312" w:eastAsia="仿宋_GB2312"/>
                      <w:sz w:val="24"/>
                    </w:rPr>
                    <w:t>GB/T23348-2009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大量元素水溶肥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r>
                    <w:rPr>
                      <w:rFonts w:ascii="仿宋_GB2312" w:hAnsi="仿宋_GB2312" w:cs="仿宋_GB2312" w:eastAsia="仿宋_GB2312"/>
                      <w:sz w:val="24"/>
                    </w:rPr>
                    <w:t>≥20-20-20（不含氯）（粉剂）（20kg/袋）</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NY/T1107-2010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氨基酸水溶肥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游离氨基酸</w:t>
                  </w:r>
                  <w:r>
                    <w:rPr>
                      <w:rFonts w:ascii="仿宋_GB2312" w:hAnsi="仿宋_GB2312" w:cs="仿宋_GB2312" w:eastAsia="仿宋_GB2312"/>
                      <w:sz w:val="24"/>
                    </w:rPr>
                    <w:t>≥100g/L</w:t>
                  </w:r>
                </w:p>
                <w:p>
                  <w:pPr>
                    <w:pStyle w:val="null3"/>
                    <w:jc w:val="center"/>
                  </w:pPr>
                  <w:r>
                    <w:rPr>
                      <w:rFonts w:ascii="仿宋_GB2312" w:hAnsi="仿宋_GB2312" w:cs="仿宋_GB2312" w:eastAsia="仿宋_GB2312"/>
                      <w:sz w:val="24"/>
                    </w:rPr>
                    <w:t>微量元素</w:t>
                  </w:r>
                  <w:r>
                    <w:rPr>
                      <w:rFonts w:ascii="仿宋_GB2312" w:hAnsi="仿宋_GB2312" w:cs="仿宋_GB2312" w:eastAsia="仿宋_GB2312"/>
                      <w:sz w:val="24"/>
                    </w:rPr>
                    <w:t>≥20g/L（不含氯）（水剂）（5kg/桶）</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NY1429-2010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平衡性复合肥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p>
                <w:p>
                  <w:pPr>
                    <w:pStyle w:val="null3"/>
                    <w:jc w:val="center"/>
                  </w:pPr>
                  <w:r>
                    <w:rPr>
                      <w:rFonts w:ascii="仿宋_GB2312" w:hAnsi="仿宋_GB2312" w:cs="仿宋_GB2312" w:eastAsia="仿宋_GB2312"/>
                      <w:sz w:val="24"/>
                    </w:rPr>
                    <w:t>17-17-17（低氯或不含氯）（颗粒）</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GB/T15063-2020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13.75吨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棚膜</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PO膜</w:t>
                  </w:r>
                  <w:r>
                    <w:rPr>
                      <w:rFonts w:ascii="仿宋_GB2312" w:hAnsi="仿宋_GB2312" w:cs="仿宋_GB2312" w:eastAsia="仿宋_GB2312"/>
                      <w:sz w:val="24"/>
                    </w:rPr>
                    <w:t>，厚度</w:t>
                  </w:r>
                  <w:r>
                    <w:rPr>
                      <w:rFonts w:ascii="仿宋_GB2312" w:hAnsi="仿宋_GB2312" w:cs="仿宋_GB2312" w:eastAsia="仿宋_GB2312"/>
                      <w:sz w:val="24"/>
                    </w:rPr>
                    <w:t>12丝</w:t>
                  </w:r>
                  <w:r>
                    <w:rPr>
                      <w:rFonts w:ascii="仿宋_GB2312" w:hAnsi="仿宋_GB2312" w:cs="仿宋_GB2312" w:eastAsia="仿宋_GB2312"/>
                      <w:sz w:val="24"/>
                    </w:rPr>
                    <w:t>，宽度</w:t>
                  </w:r>
                  <w:r>
                    <w:rPr>
                      <w:rFonts w:ascii="仿宋_GB2312" w:hAnsi="仿宋_GB2312" w:cs="仿宋_GB2312" w:eastAsia="仿宋_GB2312"/>
                      <w:sz w:val="24"/>
                    </w:rPr>
                    <w:t>12米，</w:t>
                  </w:r>
                  <w:r>
                    <w:rPr>
                      <w:rFonts w:ascii="仿宋_GB2312" w:hAnsi="仿宋_GB2312" w:cs="仿宋_GB2312" w:eastAsia="仿宋_GB2312"/>
                      <w:sz w:val="24"/>
                    </w:rPr>
                    <w:t>白色</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GB/T4455-2019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3200kg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注：技术参数与性能指标为实质性响应内容，不得负偏离。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2026年5月15日前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2026年5月15日前。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2026年5月15日前。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蓝田县汤峪、小寨、焦岱等镇（具体由蓝田县农业技术推广中心指定）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蓝田县前卫、安村、孟村等镇（具体由蓝田县农业技术推广中心指定）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蓝田县洩湖等9个镇（具体由蓝田县农业技术推广中心指定）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专项资金到位后，一次性付清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专项资金到位后，一次性付清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专项资金到位后，一次性付清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领取成交通知书时提供一正两副纸质响应文件。纸质响应文件采用书籍（胶装）方式装订成册，与电子响应文件一致的签字、盖章的完整版本（正本为红章，副本不作要求）。2、根据《关于推动解决政府采购异常低价问题的通知》（财库〔2026〕2号）规定，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2.3投标（响应）报价低于采购项目最高限价45%的，即投标（响应）报价&lt;采购项目最高限价×45%； 2.4评审委员会基于专业判断，认为供应商报价过低，有可能影响产品质量或者不能诚信履约的其他情形。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2.3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人在领取成交通知书时提供一正两副纸质响应文件。纸质响应文件采用书籍（胶装）方式装订成册，与电子响应文件一致的签字、盖章的完整版本（正本为红章，副本不作要求）。2、根据《关于推动解决政府采购异常低价问题的通知》（财库〔2026〕2号）规定，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2.3投标（响应）报价低于采购项目最高限价45%的，即投标（响应）报价&lt;采购项目最高限价×45%； 2.4评审委员会基于专业判断，认为供应商报价过低，有可能影响产品质量或者不能诚信履约的其他情形。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2.3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人在领取成交通知书时提供一正两副纸质响应文件。纸质响应文件采用书籍（胶装）方式装订成册，与电子响应文件一致的签字、盖章的完整版本（正本为红章，副本不作要求）。2、根据《关于推动解决政府采购异常低价问题的通知》（财库〔2026〕2号）规定，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2.3投标（响应）报价低于采购项目最高限价45%的，即投标（响应）报价&lt;采购项目最高限价×45%； 2.4评审委员会基于专业判断，认为供应商报价过低，有可能影响产品质量或者不能诚信履约的其他情形。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2.3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税收缴纳证明：提供2025年4月至今任意一个月的缴纳凭据（增值税、企业所得税至少一种）；（依法免税的供应商应提供相关文件证明）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提供生产厂家有效期内的肥料登记证或农业农村部登记备案证明</w:t>
            </w:r>
          </w:p>
        </w:tc>
        <w:tc>
          <w:tcPr>
            <w:tcW w:type="dxa" w:w="3322"/>
          </w:tcPr>
          <w:p>
            <w:pPr>
              <w:pStyle w:val="null3"/>
            </w:pPr>
            <w:r>
              <w:rPr>
                <w:rFonts w:ascii="仿宋_GB2312" w:hAnsi="仿宋_GB2312" w:cs="仿宋_GB2312" w:eastAsia="仿宋_GB2312"/>
              </w:rPr>
              <w:t>提供生产厂家有效期内的肥料登记证或农业农村部登记备案证明；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税收缴纳证明：提供2025年4月至今任意一个月的缴纳凭据（增值税、企业所得税至少一种）；（依法免税的供应商应提供相关文件证明）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提供生产厂家有效期内的肥料登记证或农业农村部登记备案证明</w:t>
            </w:r>
          </w:p>
        </w:tc>
        <w:tc>
          <w:tcPr>
            <w:tcW w:type="dxa" w:w="3322"/>
          </w:tcPr>
          <w:p>
            <w:pPr>
              <w:pStyle w:val="null3"/>
            </w:pPr>
            <w:r>
              <w:rPr>
                <w:rFonts w:ascii="仿宋_GB2312" w:hAnsi="仿宋_GB2312" w:cs="仿宋_GB2312" w:eastAsia="仿宋_GB2312"/>
              </w:rPr>
              <w:t>提供生产厂家有效期内的肥料登记证或农业农村部登记备案证明；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税收缴纳证明：提供2025年4月至今任意一个月的缴纳凭据（增值税、企业所得税至少一种）；（依法免税的供应商应提供相关文件证明）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提供生产厂家有效期内的肥料登记证或农业农村部登记备案证明</w:t>
            </w:r>
          </w:p>
        </w:tc>
        <w:tc>
          <w:tcPr>
            <w:tcW w:type="dxa" w:w="3322"/>
          </w:tcPr>
          <w:p>
            <w:pPr>
              <w:pStyle w:val="null3"/>
            </w:pPr>
            <w:r>
              <w:rPr>
                <w:rFonts w:ascii="仿宋_GB2312" w:hAnsi="仿宋_GB2312" w:cs="仿宋_GB2312" w:eastAsia="仿宋_GB2312"/>
              </w:rPr>
              <w:t>提供生产厂家有效期内的肥料登记证或农业农村部登记备案证明；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中小企业声明函 授权委托书.docx 商务条款响应偏离表.docx 分项报价.docx 技术规格响应偏离表.docx 响应文件封面 残疾人福利性单位声明函 拒绝政府采购领域商业贿赂承诺书.docx 供应商参与政府采购活动的承诺函.docx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供应商参与政府采购活动的承诺函.docx 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合法来源渠道证明文件、功能证明材料</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按照谈判文件要求提供所投产品的合法来源渠道证明文件（包括但不限于原厂授权、代理协议、销售协议等）；生产厂家确认的、相应的功能证明材料（包括但不限于检测报告等）</w:t>
            </w:r>
          </w:p>
        </w:tc>
        <w:tc>
          <w:tcPr>
            <w:tcW w:type="dxa" w:w="1661"/>
          </w:tcPr>
          <w:p>
            <w:pPr>
              <w:pStyle w:val="null3"/>
            </w:pPr>
            <w:r>
              <w:rPr>
                <w:rFonts w:ascii="仿宋_GB2312" w:hAnsi="仿宋_GB2312" w:cs="仿宋_GB2312" w:eastAsia="仿宋_GB2312"/>
              </w:rPr>
              <w:t>产品的合法渠道证明文件.docx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授权委托书.docx 中小企业声明函 分项报价.docx 商务条款响应偏离表.docx 技术规格响应偏离表.docx 响应文件封面 拒绝政府采购领域商业贿赂承诺书.docx 残疾人福利性单位声明函 供应商参与政府采购活动的承诺函.docx 产品的合法渠道证明文件.docx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合法来源渠道证明文件、功能证明材料</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按照谈判文件要求提供所投产品的合法来源渠道证明文件（包括但不限于原厂授权、代理协议、销售协议等）；生产厂家确认的、相应的功能证明材料（包括但不限于检测报告等）</w:t>
            </w:r>
          </w:p>
        </w:tc>
        <w:tc>
          <w:tcPr>
            <w:tcW w:type="dxa" w:w="1661"/>
          </w:tcPr>
          <w:p>
            <w:pPr>
              <w:pStyle w:val="null3"/>
            </w:pPr>
            <w:r>
              <w:rPr>
                <w:rFonts w:ascii="仿宋_GB2312" w:hAnsi="仿宋_GB2312" w:cs="仿宋_GB2312" w:eastAsia="仿宋_GB2312"/>
              </w:rPr>
              <w:t>产品的合法渠道证明文件.docx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授权委托书.docx 中小企业声明函 分项报价.docx 商务条款响应偏离表.docx 响应文件封面 技术规格响应偏离表.docx 拒绝政府采购领域商业贿赂承诺书.docx 残疾人福利性单位声明函 供应商参与政府采购活动的承诺函.docx 产品的合法渠道证明文件.docx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合法来源渠道证明文件、功能证明材料</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按照谈判文件要求提供所投产品的合法来源渠道证明文件（包括但不限于原厂授权、代理协议、销售协议等）；生产厂家确认的、相应的功能证明材料（包括但不限于检测报告等）</w:t>
            </w:r>
          </w:p>
        </w:tc>
        <w:tc>
          <w:tcPr>
            <w:tcW w:type="dxa" w:w="1661"/>
          </w:tcPr>
          <w:p>
            <w:pPr>
              <w:pStyle w:val="null3"/>
            </w:pPr>
            <w:r>
              <w:rPr>
                <w:rFonts w:ascii="仿宋_GB2312" w:hAnsi="仿宋_GB2312" w:cs="仿宋_GB2312" w:eastAsia="仿宋_GB2312"/>
              </w:rPr>
              <w:t>产品的合法渠道证明文件.docx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若同一单位同时参与多个包，则谈判小组按照采购包顺序依次评审，在其中一包被推荐为第一成交候选人，则该单位在后续的包号评审中不再推荐为第一成交候选人，并顺延下一名为第一成交候选人。</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若同一单位同时参与多个包，则谈判小组按照采购包顺序依次评审，在其中一包被推荐为第一成交候选人，则该单位在后续的包号评审中不再推荐为第一成交候选人，并顺延下一名为第一成交候选人。</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若同一单位同时参与多个包，则谈判小组按照采购包顺序依次评审，在其中一包被推荐为第一成交候选人，则该单位在后续的包号评审中不再推荐为第一成交候选人，并顺延下一名为第一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