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版本号：SXJTZB-ZC-CS2026041120260417001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蓝田县2026年农房抗震鉴定、加固改造设计与技术服务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SXJTZB-ZC-CS20260411</w:t>
      </w:r>
      <w:r>
        <w:br/>
      </w:r>
      <w:r>
        <w:br/>
      </w:r>
      <w:r>
        <w:br/>
      </w:r>
    </w:p>
    <w:p>
      <w:pPr>
        <w:pStyle w:val="null3"/>
        <w:jc w:val="center"/>
        <w:outlineLvl w:val="2"/>
      </w:pPr>
      <w:r>
        <w:rPr>
          <w:rFonts w:ascii="仿宋_GB2312" w:hAnsi="仿宋_GB2312" w:cs="仿宋_GB2312" w:eastAsia="仿宋_GB2312"/>
          <w:sz w:val="28"/>
          <w:b/>
        </w:rPr>
        <w:t>西安市蓝田县住房和城乡建设局（本级）</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西安市蓝田县住房和城乡建设局（本级）</w:t>
      </w:r>
      <w:r>
        <w:rPr>
          <w:rFonts w:ascii="仿宋_GB2312" w:hAnsi="仿宋_GB2312" w:cs="仿宋_GB2312" w:eastAsia="仿宋_GB2312"/>
        </w:rPr>
        <w:t>委托，拟对</w:t>
      </w:r>
      <w:r>
        <w:rPr>
          <w:rFonts w:ascii="仿宋_GB2312" w:hAnsi="仿宋_GB2312" w:cs="仿宋_GB2312" w:eastAsia="仿宋_GB2312"/>
        </w:rPr>
        <w:t>蓝田县2026年农房抗震鉴定、加固改造设计与技术服务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蓝田县2026年农房抗震鉴定、加固改造设计与技术服务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蓝田县2026年农房抗震鉴定、加固改造设计与技术服务，具体内容详见技术参数与性能指标。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采购包1（蓝田县2026年农房抗震鉴定、加固改造设计与技术服务）：属于专门面向中小企业采购。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4、社会保障资金缴纳证明：提供2025年4月至今任意一个月的的社会保障资金缴存单据或社保机构开具的社会保险参保缴费情况证明，依法不需要缴纳社会保障资金的单位应提供相关证明材料。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5、履行合同所必需的设备和专业技术能力：供具有履行合同所必需的设备和专业技术能力的承诺。</w:t>
      </w:r>
    </w:p>
    <w:p>
      <w:pPr>
        <w:pStyle w:val="null3"/>
      </w:pPr>
      <w:r>
        <w:rPr>
          <w:rFonts w:ascii="仿宋_GB2312" w:hAnsi="仿宋_GB2312" w:cs="仿宋_GB2312" w:eastAsia="仿宋_GB2312"/>
        </w:rPr>
        <w:t>6、前三年无重大违法记录声明：出具参加本次政府采购活动前三年内在经营活动中没有重大违法记录的书面声明。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8、设计资质要求：供应商应具备工程设计综合资质甲级或建筑行业工程设计乙级及以上资质或建筑行业(建筑工程)乙级及以上资质。</w:t>
      </w:r>
    </w:p>
    <w:p>
      <w:pPr>
        <w:pStyle w:val="null3"/>
      </w:pPr>
      <w:r>
        <w:rPr>
          <w:rFonts w:ascii="仿宋_GB2312" w:hAnsi="仿宋_GB2312" w:cs="仿宋_GB2312" w:eastAsia="仿宋_GB2312"/>
        </w:rPr>
        <w:t>9、鉴定资质要求：供应商须在西安市房屋安全鉴定机构名录中，还应具备省级或省级以上建设部门颁发的工程质量检测资质证书或具有中国合格评定国家认可委员会颁发的检验机构认可证书，且服务范围须包含建设工程质量检测。</w:t>
      </w:r>
    </w:p>
    <w:p>
      <w:pPr>
        <w:pStyle w:val="null3"/>
      </w:pPr>
      <w:r>
        <w:rPr>
          <w:rFonts w:ascii="仿宋_GB2312" w:hAnsi="仿宋_GB2312" w:cs="仿宋_GB2312" w:eastAsia="仿宋_GB2312"/>
        </w:rPr>
        <w:t>10、本项目接受联合体磋商：联合体参加磋商的，应满足下列要求：联合体成员数量不得超过2家，联合体各成员必须签订联合体协议；明确联合体牵头方和各成员方的主要权利和义务，其成员构成、职责分工等；联合体须由加固改造设计单位牵头，联合体牵头单位代表联合体各方办理本项目磋商活动过程中的一切事务。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蓝田县县城北街26号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杨娟丽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029-82751266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张荷、贾婵、王琳娜、曾小旦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文件收费标准不足壹万元按壹万元计取。 户名：陕西嘉唐建设项目管理有限公司 开户行：西安银行股份有限公司含光门支行 账号：112011580000141313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西安市蓝田县住房和城乡建设局（本级）</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达到当地抗震设防标准及采购人要求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联系人：张荷、贾婵、王琳娜、曾小旦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蓝田县2026年农房抗震鉴定、加固改造设计与技术服务，具体内容详见竞争性磋商文件。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蓝田县2026年农房抗震鉴定加固改造设计与技术服务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标的名称：蓝田县2026年农房抗震鉴定加固改造设计与技术服务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0"/>
              <w:jc w:val="both"/>
            </w:pPr>
            <w:r>
              <w:rPr>
                <w:rFonts w:ascii="仿宋_GB2312" w:hAnsi="仿宋_GB2312" w:cs="仿宋_GB2312" w:eastAsia="仿宋_GB2312"/>
                <w:sz w:val="21"/>
              </w:rPr>
              <w:t>一、项目概况</w:t>
            </w:r>
          </w:p>
          <w:p>
            <w:pPr>
              <w:pStyle w:val="null3"/>
              <w:ind w:firstLine="210"/>
              <w:jc w:val="both"/>
            </w:pPr>
            <w:r>
              <w:rPr>
                <w:rFonts w:ascii="仿宋_GB2312" w:hAnsi="仿宋_GB2312" w:cs="仿宋_GB2312" w:eastAsia="仿宋_GB2312"/>
                <w:sz w:val="21"/>
              </w:rPr>
              <w:t>对蓝田县</w:t>
            </w:r>
            <w:r>
              <w:rPr>
                <w:rFonts w:ascii="仿宋_GB2312" w:hAnsi="仿宋_GB2312" w:cs="仿宋_GB2312" w:eastAsia="仿宋_GB2312"/>
                <w:sz w:val="21"/>
              </w:rPr>
              <w:t>200户农房实施农房抗震鉴定(改造前、后各一次），加固改造一户一设计。构造措施应同步达到当地抗震设防标准。</w:t>
            </w:r>
          </w:p>
          <w:p>
            <w:pPr>
              <w:pStyle w:val="null3"/>
              <w:ind w:firstLine="210"/>
              <w:jc w:val="both"/>
            </w:pPr>
            <w:r>
              <w:rPr>
                <w:rFonts w:ascii="仿宋_GB2312" w:hAnsi="仿宋_GB2312" w:cs="仿宋_GB2312" w:eastAsia="仿宋_GB2312"/>
                <w:sz w:val="21"/>
              </w:rPr>
              <w:t>二、服务内容</w:t>
            </w:r>
          </w:p>
          <w:p>
            <w:pPr>
              <w:pStyle w:val="null3"/>
              <w:ind w:firstLine="210"/>
              <w:jc w:val="both"/>
            </w:pPr>
            <w:r>
              <w:rPr>
                <w:rFonts w:ascii="仿宋_GB2312" w:hAnsi="仿宋_GB2312" w:cs="仿宋_GB2312" w:eastAsia="仿宋_GB2312"/>
                <w:sz w:val="21"/>
              </w:rPr>
              <w:t>根据住建局要求对全县列入高烈度区抗震改造的农房进行抗震安全调查，包括房屋建造年代、建筑材料、结构类型、主体结构损伤变形及房屋维护情况等，在此基础上逐户进行抗震鉴定，提交鉴定报告。对抗震不达标的农房，按照</w:t>
            </w:r>
            <w:r>
              <w:rPr>
                <w:rFonts w:ascii="仿宋_GB2312" w:hAnsi="仿宋_GB2312" w:cs="仿宋_GB2312" w:eastAsia="仿宋_GB2312"/>
                <w:sz w:val="21"/>
              </w:rPr>
              <w:t>“一户一策”进行加固改造设计。对既有的农房，由于加固改造影响建筑原有风貌时，应对建筑风貌进行修复设计，对部分环境杂乱的庭院进行方案设计，并对改造后的农房进行抗震鉴定，提交鉴定报告。</w:t>
            </w:r>
          </w:p>
          <w:p>
            <w:pPr>
              <w:pStyle w:val="null3"/>
              <w:ind w:firstLine="210"/>
              <w:jc w:val="both"/>
            </w:pPr>
            <w:r>
              <w:rPr>
                <w:rFonts w:ascii="仿宋_GB2312" w:hAnsi="仿宋_GB2312" w:cs="仿宋_GB2312" w:eastAsia="仿宋_GB2312"/>
                <w:sz w:val="21"/>
              </w:rPr>
              <w:t>三、服务要求</w:t>
            </w:r>
          </w:p>
          <w:p>
            <w:pPr>
              <w:pStyle w:val="null3"/>
              <w:ind w:firstLine="210"/>
              <w:jc w:val="both"/>
            </w:pPr>
            <w:r>
              <w:rPr>
                <w:rFonts w:ascii="仿宋_GB2312" w:hAnsi="仿宋_GB2312" w:cs="仿宋_GB2312" w:eastAsia="仿宋_GB2312"/>
                <w:sz w:val="21"/>
              </w:rPr>
              <w:t>实施农房抗震改造设计，农房抗震改造后经抗震鉴定，构造措施应同步达到当地抗震设防标准。</w:t>
            </w:r>
          </w:p>
          <w:p>
            <w:pPr>
              <w:pStyle w:val="null3"/>
              <w:jc w:val="both"/>
            </w:pPr>
            <w:r>
              <w:rPr>
                <w:rFonts w:ascii="仿宋_GB2312" w:hAnsi="仿宋_GB2312" w:cs="仿宋_GB2312" w:eastAsia="仿宋_GB2312"/>
                <w:sz w:val="21"/>
              </w:rPr>
              <w:t>四、商务要求</w:t>
            </w:r>
          </w:p>
          <w:p>
            <w:pPr>
              <w:pStyle w:val="null3"/>
              <w:jc w:val="both"/>
            </w:pPr>
            <w:r>
              <w:rPr>
                <w:rFonts w:ascii="仿宋_GB2312" w:hAnsi="仿宋_GB2312" w:cs="仿宋_GB2312" w:eastAsia="仿宋_GB2312"/>
                <w:sz w:val="21"/>
              </w:rPr>
              <w:t>（一）服务期限</w:t>
            </w:r>
          </w:p>
          <w:p>
            <w:pPr>
              <w:pStyle w:val="null3"/>
              <w:jc w:val="both"/>
            </w:pPr>
            <w:r>
              <w:rPr>
                <w:rFonts w:ascii="仿宋_GB2312" w:hAnsi="仿宋_GB2312" w:cs="仿宋_GB2312" w:eastAsia="仿宋_GB2312"/>
                <w:sz w:val="21"/>
              </w:rPr>
              <w:t>鉴定、设计周期至本项目全面完成，合同签订后</w:t>
            </w:r>
            <w:r>
              <w:rPr>
                <w:rFonts w:ascii="仿宋_GB2312" w:hAnsi="仿宋_GB2312" w:cs="仿宋_GB2312" w:eastAsia="仿宋_GB2312"/>
                <w:sz w:val="21"/>
              </w:rPr>
              <w:t>10天内完成前期抗震安全性调查、鉴定，抗震安全性调查完成后10天内完成初步设计，初步设计批准后10天内完成正式改造方案设计，农房抗震改造工程全部竣工后20日内完成房屋抗震安全性鉴定。</w:t>
            </w:r>
          </w:p>
          <w:p>
            <w:pPr>
              <w:pStyle w:val="null3"/>
              <w:jc w:val="both"/>
            </w:pPr>
            <w:r>
              <w:rPr>
                <w:rFonts w:ascii="仿宋_GB2312" w:hAnsi="仿宋_GB2312" w:cs="仿宋_GB2312" w:eastAsia="仿宋_GB2312"/>
                <w:sz w:val="21"/>
              </w:rPr>
              <w:t>（二）服务标准</w:t>
            </w:r>
          </w:p>
          <w:p>
            <w:pPr>
              <w:pStyle w:val="null3"/>
              <w:jc w:val="both"/>
            </w:pPr>
            <w:r>
              <w:rPr>
                <w:rFonts w:ascii="仿宋_GB2312" w:hAnsi="仿宋_GB2312" w:cs="仿宋_GB2312" w:eastAsia="仿宋_GB2312"/>
                <w:sz w:val="21"/>
              </w:rPr>
              <w:t>达到当地抗震设防标准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款项结算</w:t>
            </w:r>
          </w:p>
          <w:p>
            <w:pPr>
              <w:pStyle w:val="null3"/>
              <w:jc w:val="both"/>
            </w:pPr>
            <w:r>
              <w:rPr>
                <w:rFonts w:ascii="仿宋_GB2312" w:hAnsi="仿宋_GB2312" w:cs="仿宋_GB2312" w:eastAsia="仿宋_GB2312"/>
                <w:sz w:val="21"/>
              </w:rPr>
              <w:t>采购包</w:t>
            </w:r>
            <w:r>
              <w:rPr>
                <w:rFonts w:ascii="仿宋_GB2312" w:hAnsi="仿宋_GB2312" w:cs="仿宋_GB2312" w:eastAsia="仿宋_GB2312"/>
                <w:sz w:val="21"/>
              </w:rPr>
              <w:t>1：付款条件说明：合同签订后，达到付款条件起30日内，支付合同总金额的40.00%。</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1：付款条件说明：服务事项全部完成且验收合格后，达到付款条件起30日内，支付合同总金额的60.00%。</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鉴定、设计周期至本项目全面完成，合同签订后10天内完成前期抗震安全性调查、鉴定，抗震安全性调查完成后10天内完成初步设计，初步设计批准后10天内完成正式改造方案设计，农房抗震改造工程全部竣工后20日内完成房屋抗震安全性鉴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符合《农村住房危险性鉴定标准》JGJ/T363-2014 和《危险房屋鉴定标准》（如有最新标准以最新标准执行）。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服务事项全部完成且验收合格后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提供2025年4月至今任意一个月的的社会保障资金缴存单据或社保机构开具的社会保险参保缴费情况证明，依法不需要缴纳社会保障资金的单位应提供相关证明材料。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设计资质要求</w:t>
            </w:r>
          </w:p>
        </w:tc>
        <w:tc>
          <w:tcPr>
            <w:tcW w:type="dxa" w:w="3322"/>
          </w:tcPr>
          <w:p>
            <w:pPr>
              <w:pStyle w:val="null3"/>
            </w:pPr>
            <w:r>
              <w:rPr>
                <w:rFonts w:ascii="仿宋_GB2312" w:hAnsi="仿宋_GB2312" w:cs="仿宋_GB2312" w:eastAsia="仿宋_GB2312"/>
              </w:rPr>
              <w:t>供应商应具备工程设计综合资质甲级或建筑行业工程设计乙级及以上资质或建筑行业(建筑工程)乙级及以上资质。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鉴定资质要求</w:t>
            </w:r>
          </w:p>
        </w:tc>
        <w:tc>
          <w:tcPr>
            <w:tcW w:type="dxa" w:w="3322"/>
          </w:tcPr>
          <w:p>
            <w:pPr>
              <w:pStyle w:val="null3"/>
            </w:pPr>
            <w:r>
              <w:rPr>
                <w:rFonts w:ascii="仿宋_GB2312" w:hAnsi="仿宋_GB2312" w:cs="仿宋_GB2312" w:eastAsia="仿宋_GB2312"/>
              </w:rPr>
              <w:t>供应商须在西安市房屋安全鉴定机构名录中，还应具备省级或省级以上建设部门颁发的工程质量检测资质证书或具有中国合格评定国家认可委员会颁发的检验机构认可证书，且服务范围须包含建设工程质量检测。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本项目接受联合体磋商</w:t>
            </w:r>
          </w:p>
        </w:tc>
        <w:tc>
          <w:tcPr>
            <w:tcW w:type="dxa" w:w="3322"/>
          </w:tcPr>
          <w:p>
            <w:pPr>
              <w:pStyle w:val="null3"/>
            </w:pPr>
            <w:r>
              <w:rPr>
                <w:rFonts w:ascii="仿宋_GB2312" w:hAnsi="仿宋_GB2312" w:cs="仿宋_GB2312" w:eastAsia="仿宋_GB2312"/>
              </w:rPr>
              <w:t>联合体参加磋商的，应满足下列要求：联合体成员数量不得超过2家，联合体各成员必须签订联合体协议；明确联合体牵头方和各成员方的主要权利和义务，其成员构成、职责分工等；联合体须由加固改造设计单位牵头，联合体牵头单位代表联合体各方办理本项目磋商活动过程中的一切事务。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tc>
        <w:tc>
          <w:tcPr>
            <w:tcW w:type="dxa" w:w="1661"/>
          </w:tcPr>
          <w:p>
            <w:pPr>
              <w:pStyle w:val="null3"/>
            </w:pPr>
            <w:r>
              <w:rPr>
                <w:rFonts w:ascii="仿宋_GB2312" w:hAnsi="仿宋_GB2312" w:cs="仿宋_GB2312" w:eastAsia="仿宋_GB2312"/>
              </w:rPr>
              <w:t>供应商应提交的相关资格证明材料 联合体协议书.docx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响应文件封面 分项报价表.docx 残疾人福利性单位声明函 服务方案 标的清单 联合体协议书.docx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①服务的目标；②服务的原则；③服务的依据；④服务的理解。 以上各项方案内容详尽、科学、合理，可行性强得4分；方案科学、合理，可行性较强得3分；方案内容一般，可行性一般得2分；未提供不得分。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①供应商提供针对鉴定的服务方案；②供应商提供针对加固改造设计的服务方案。 以上各项方案内容详尽、科学、合理，可行性强得4分；方案科学、合理，可行性较强得3分；方案内容一般，可行性一般得2分；未提供不得分。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评审内容：提供的项目项目进度保证措施。 措施全面、合理可行、项目针对性强得10分；措施内容符合要求，内容全面、针对性较强得8分；磋商内容基本涵盖，基本保证项目质量得6分；措施内容简要、措施不够全面、可行性一般得4分；涵盖内容一般，有明显缺失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详细的质量保证措施，在项目履行过程中为采购人提供的服务质量及对后期的技术资料指导、服务等方面作出书面承诺，不能完全履行承诺时接受处罚等情况做出实质性承诺。根据服务承诺明确、全面、合理可行、项目针对性强得10分；内容符合要求，内容全面、针对性较强得8分；内容基本涵盖，基本保证项目质量得6分；内容简要、不够全面、可行性一般得4分；涵盖内容一般，有明显缺失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服务的工作流程及制度</w:t>
            </w:r>
          </w:p>
        </w:tc>
        <w:tc>
          <w:tcPr>
            <w:tcW w:type="dxa" w:w="2492"/>
          </w:tcPr>
          <w:p>
            <w:pPr>
              <w:pStyle w:val="null3"/>
            </w:pPr>
            <w:r>
              <w:rPr>
                <w:rFonts w:ascii="仿宋_GB2312" w:hAnsi="仿宋_GB2312" w:cs="仿宋_GB2312" w:eastAsia="仿宋_GB2312"/>
              </w:rPr>
              <w:t>提供针对本项目拟定的工作职能组织运行图等。内容全面、合理可行、项目针对性强得10分；制度内容符合要求，内容全面、针对性较强得8分；制度内容基本涵盖，基本保证项目质量得6分；制度内容简要、不够全面、可行性一般得4分；涵盖内容一般，有明显缺失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项目人员团队</w:t>
            </w:r>
          </w:p>
        </w:tc>
        <w:tc>
          <w:tcPr>
            <w:tcW w:type="dxa" w:w="2492"/>
          </w:tcPr>
          <w:p>
            <w:pPr>
              <w:pStyle w:val="null3"/>
            </w:pPr>
            <w:r>
              <w:rPr>
                <w:rFonts w:ascii="仿宋_GB2312" w:hAnsi="仿宋_GB2312" w:cs="仿宋_GB2312" w:eastAsia="仿宋_GB2312"/>
              </w:rPr>
              <w:t>拟投入项目团队人员配备合理，经验丰富，专业性强，满足采购要求得10分；人员配备分工较明确、配备较合理、经验较丰富的，基本满足采购要求得8分；分工基本合理、配备基本合理、经验基本丰富的得6分；分工一般、配备一般、经验一般的得4分；配备人员简单笼统，不足以支撑完成本项目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①合理化建议；②保密措施。以上各项方案内容详尽、科学、合理，可行性强得4分；方案科学、合理，可行性较强得3分；方案内容一般，可行性一般得1分；未提供不得分。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w:t>
            </w:r>
          </w:p>
        </w:tc>
        <w:tc>
          <w:tcPr>
            <w:tcW w:type="dxa" w:w="2492"/>
          </w:tcPr>
          <w:p>
            <w:pPr>
              <w:pStyle w:val="null3"/>
            </w:pPr>
            <w:r>
              <w:rPr>
                <w:rFonts w:ascii="仿宋_GB2312" w:hAnsi="仿宋_GB2312" w:cs="仿宋_GB2312" w:eastAsia="仿宋_GB2312"/>
              </w:rPr>
              <w:t>项目过程中的所有资料的管理，工作专业、严密、合理、可行，全面确保数据及相关信息不泄密，方案全面可行性强得8分；所有资料的管理，工作较专业、严密、合理，基本全面，方案全面基本可行得6分；所有资料的管理，工作较专业、严密、合理性一般，可行性一般得4分；资料的管理制度简单有缺陷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供应商提供2023年1月1日至今（以合同签订日期为准）类似项目业绩，以合同复印件为准，每一份计2分，最多计10分。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