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版本号：2026XKR04420260427001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蓝田县2025年教育基础设施建设项目蓝田县焦岱中学修缮工程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2026XKR044</w:t>
      </w:r>
      <w:r>
        <w:br/>
      </w:r>
      <w:r>
        <w:br/>
      </w:r>
      <w:r>
        <w:br/>
      </w:r>
    </w:p>
    <w:p>
      <w:pPr>
        <w:pStyle w:val="null3"/>
        <w:jc w:val="center"/>
        <w:outlineLvl w:val="2"/>
      </w:pPr>
      <w:r>
        <w:rPr>
          <w:rFonts w:ascii="仿宋_GB2312" w:hAnsi="仿宋_GB2312" w:cs="仿宋_GB2312" w:eastAsia="仿宋_GB2312"/>
          <w:sz w:val="28"/>
          <w:b/>
        </w:rPr>
        <w:t>西安市蓝田县教育和科学技术局（本级）</w:t>
      </w:r>
    </w:p>
    <w:p>
      <w:pPr>
        <w:pStyle w:val="null3"/>
        <w:jc w:val="center"/>
        <w:outlineLvl w:val="2"/>
      </w:pPr>
      <w:r>
        <w:rPr>
          <w:rFonts w:ascii="仿宋_GB2312" w:hAnsi="仿宋_GB2312" w:cs="仿宋_GB2312" w:eastAsia="仿宋_GB2312"/>
          <w:sz w:val="28"/>
          <w:b/>
        </w:rPr>
        <w:t>赛科瑞项目管理有限公司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赛科瑞项目管理有限公司</w:t>
      </w:r>
      <w:r>
        <w:rPr>
          <w:rFonts w:ascii="仿宋_GB2312" w:hAnsi="仿宋_GB2312" w:cs="仿宋_GB2312" w:eastAsia="仿宋_GB2312"/>
        </w:rPr>
        <w:t>（以下简称“代理机构”）受</w:t>
      </w:r>
      <w:r>
        <w:rPr>
          <w:rFonts w:ascii="仿宋_GB2312" w:hAnsi="仿宋_GB2312" w:cs="仿宋_GB2312" w:eastAsia="仿宋_GB2312"/>
        </w:rPr>
        <w:t>西安市蓝田县教育和科学技术局（本级）</w:t>
      </w:r>
      <w:r>
        <w:rPr>
          <w:rFonts w:ascii="仿宋_GB2312" w:hAnsi="仿宋_GB2312" w:cs="仿宋_GB2312" w:eastAsia="仿宋_GB2312"/>
        </w:rPr>
        <w:t>委托，拟对</w:t>
      </w:r>
      <w:r>
        <w:rPr>
          <w:rFonts w:ascii="仿宋_GB2312" w:hAnsi="仿宋_GB2312" w:cs="仿宋_GB2312" w:eastAsia="仿宋_GB2312"/>
        </w:rPr>
        <w:t>蓝田县2025年教育基础设施建设项目蓝田县焦岱中学修缮工程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2026XKR044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蓝田县2025年教育基础设施建设项目蓝田县焦岱中学修缮工程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操场东南边护坡及围墙619立方米；学生公寓走廊墙裙贴砖819平方米；教室聚氨酯面层1443平方米，对涉及学校进行修缮工程。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采购包1（蓝田县2025年教育基础设施建设项目蓝田县焦岱中学修缮工程）：属于专门面向中小企业采购。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具有财务审计资质单位出具的2024年度年度财务审计报告（成立时间至开标时间不足一年的可提供成立后任意时段的资产负债表）或开标前六个月内其基本账户银行出具的资信证明（附开户许可证或基本账户证明）或政府采购信用担保机构出具的投标担保函；</w:t>
      </w:r>
    </w:p>
    <w:p>
      <w:pPr>
        <w:pStyle w:val="null3"/>
      </w:pPr>
      <w:r>
        <w:rPr>
          <w:rFonts w:ascii="仿宋_GB2312" w:hAnsi="仿宋_GB2312" w:cs="仿宋_GB2312" w:eastAsia="仿宋_GB2312"/>
        </w:rPr>
        <w:t>3、税收缴纳证明：提供磋商截止日前一年内已缴纳的至少一个月的纳税证明或完税证明，依法免税的单位应提供相关证明材料；依法免税的供应商提供相应文件证明其依法免税；</w:t>
      </w:r>
    </w:p>
    <w:p>
      <w:pPr>
        <w:pStyle w:val="null3"/>
      </w:pPr>
      <w:r>
        <w:rPr>
          <w:rFonts w:ascii="仿宋_GB2312" w:hAnsi="仿宋_GB2312" w:cs="仿宋_GB2312" w:eastAsia="仿宋_GB2312"/>
        </w:rPr>
        <w:t>4、社会保障资金缴纳证明：提供磋商截止日前一年内已缴存的至少一个月的社会保障资金缴存单据或社保机构开具的社会保险参保缴费情况证明，依法不需要缴纳社会保障资金的单位应提供相关证明材料；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5、企业资质：供应商具备建设行政主管部门核发的建筑工程施工总承包三级（含三级）及以上资质；具备有效的安全生产许可证；</w:t>
      </w:r>
    </w:p>
    <w:p>
      <w:pPr>
        <w:pStyle w:val="null3"/>
      </w:pPr>
      <w:r>
        <w:rPr>
          <w:rFonts w:ascii="仿宋_GB2312" w:hAnsi="仿宋_GB2312" w:cs="仿宋_GB2312" w:eastAsia="仿宋_GB2312"/>
        </w:rPr>
        <w:t>6、项目经理：拟派项目经理须具有在本单位注册的建筑工程二级（含二级）及以上建造师资质，具备有效的安全生产考核合格证书，且无不良信用记录，无在建工程；</w:t>
      </w:r>
    </w:p>
    <w:p>
      <w:pPr>
        <w:pStyle w:val="null3"/>
      </w:pPr>
      <w:r>
        <w:rPr>
          <w:rFonts w:ascii="仿宋_GB2312" w:hAnsi="仿宋_GB2312" w:cs="仿宋_GB2312" w:eastAsia="仿宋_GB2312"/>
        </w:rPr>
        <w:t>7、法定代表人授权委托书：法定代表人或单位负责人参加磋商的，应提供法定代表人或单位负责人身份证明。授权代表参加磋商的，应提供法定代表人或单位负责人身份证明、授权委托书及授权代表在本单位近一个月的社保缴纳证明；</w:t>
      </w:r>
    </w:p>
    <w:p>
      <w:pPr>
        <w:pStyle w:val="null3"/>
      </w:pPr>
      <w:r>
        <w:rPr>
          <w:rFonts w:ascii="仿宋_GB2312" w:hAnsi="仿宋_GB2312" w:cs="仿宋_GB2312" w:eastAsia="仿宋_GB2312"/>
        </w:rPr>
        <w:t>8、信用记录：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9、联合体：本项目不接受联合体竞争性磋商。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西安市蓝田县教育和科学技术局（本级）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蓝田县北环路十字东北角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代永锋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029-82726883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赛科瑞项目管理有限公司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陕西省西安市未央区未央城建大厦7层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邵罗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19829362686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 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由成交人支付代理服务费，代理服务费参照《国家计委关于印发&lt;招标代理服务收费管理暂行办法&gt;的通知》（计价格〔2002〕1980号）、《国家发展和改革委员会办公厅关于招标代理服务收费有关问题的通知》（发改办价格〔2003〕857号）的规定计取代理服务费，由中标（成交）人须在领取中标（成交）通知书前一次性向代理机构支付。</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西安市蓝田县教育和科学技术局（本级）</w:t>
      </w:r>
      <w:r>
        <w:rPr>
          <w:rFonts w:ascii="仿宋_GB2312" w:hAnsi="仿宋_GB2312" w:cs="仿宋_GB2312" w:eastAsia="仿宋_GB2312"/>
        </w:rPr>
        <w:t>和</w:t>
      </w:r>
      <w:r>
        <w:rPr>
          <w:rFonts w:ascii="仿宋_GB2312" w:hAnsi="仿宋_GB2312" w:cs="仿宋_GB2312" w:eastAsia="仿宋_GB2312"/>
        </w:rPr>
        <w:t>赛科瑞项目管理有限公司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西安市蓝田县教育和科学技术局（本级）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赛科瑞项目管理有限公司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西安市蓝田县教育和科学技术局（本级）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赛科瑞项目管理有限公司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赛科瑞项目管理有限公司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赛科瑞项目管理有限公司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赛科瑞项目管理有限公司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联系人：邵罗</w:t>
      </w:r>
    </w:p>
    <w:p>
      <w:pPr>
        <w:pStyle w:val="null3"/>
      </w:pPr>
      <w:r>
        <w:rPr>
          <w:rFonts w:ascii="仿宋_GB2312" w:hAnsi="仿宋_GB2312" w:cs="仿宋_GB2312" w:eastAsia="仿宋_GB2312"/>
        </w:rPr>
        <w:t>联系电话：029-89373763</w:t>
      </w:r>
    </w:p>
    <w:p>
      <w:pPr>
        <w:pStyle w:val="null3"/>
      </w:pPr>
      <w:r>
        <w:rPr>
          <w:rFonts w:ascii="仿宋_GB2312" w:hAnsi="仿宋_GB2312" w:cs="仿宋_GB2312" w:eastAsia="仿宋_GB2312"/>
        </w:rPr>
        <w:t>地址： 陕西省西安市未央区未央城建大厦7层</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1,250,000.00</w:t>
      </w:r>
    </w:p>
    <w:p>
      <w:pPr>
        <w:pStyle w:val="null3"/>
      </w:pPr>
      <w:r>
        <w:rPr>
          <w:rFonts w:ascii="仿宋_GB2312" w:hAnsi="仿宋_GB2312" w:cs="仿宋_GB2312" w:eastAsia="仿宋_GB2312"/>
        </w:rPr>
        <w:t>采购包最高限价（元）: 1,009,329.00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蓝田县2025年教育基础设施建设项目蓝田县焦岱中学修缮工程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标的名称：蓝田县2025年教育基础设施建设项目蓝田县焦岱中学修缮工程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0"/>
              <w:jc w:val="both"/>
            </w:pPr>
            <w:r>
              <w:rPr>
                <w:rFonts w:ascii="仿宋_GB2312" w:hAnsi="仿宋_GB2312" w:cs="仿宋_GB2312" w:eastAsia="仿宋_GB2312"/>
                <w:sz w:val="24"/>
                <w:color w:val="000000"/>
              </w:rPr>
              <w:t>一、工程内容和施工地点、计划工期、缺陷责任期、质量保修期</w:t>
            </w:r>
          </w:p>
          <w:p>
            <w:pPr>
              <w:pStyle w:val="null3"/>
              <w:spacing w:before="30"/>
              <w:ind w:left="105"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工程内容</w:t>
            </w:r>
            <w:r>
              <w:rPr>
                <w:rFonts w:ascii="仿宋_GB2312" w:hAnsi="仿宋_GB2312" w:cs="仿宋_GB2312" w:eastAsia="仿宋_GB2312"/>
                <w:sz w:val="24"/>
                <w:color w:val="000000"/>
              </w:rPr>
              <w:t>：</w:t>
            </w:r>
            <w:r>
              <w:rPr>
                <w:rFonts w:ascii="仿宋_GB2312" w:hAnsi="仿宋_GB2312" w:cs="仿宋_GB2312" w:eastAsia="仿宋_GB2312"/>
                <w:sz w:val="24"/>
                <w:color w:val="000000"/>
              </w:rPr>
              <w:t>本项目蓝田县</w:t>
            </w:r>
            <w:r>
              <w:rPr>
                <w:rFonts w:ascii="仿宋_GB2312" w:hAnsi="仿宋_GB2312" w:cs="仿宋_GB2312" w:eastAsia="仿宋_GB2312"/>
                <w:sz w:val="24"/>
                <w:color w:val="000000"/>
              </w:rPr>
              <w:t>2025年教育基础设施建设项目蓝田县焦岱中学修缮工程，主要建设内容为:本项目对学校操场东南边护坡及围墙619立方米；学生公寓走廊墙裙贴砖819平方米；教室聚氨酯面层1443平方米，对涉及学校进行修缮工程，以达到使用目标，具体内容详见工程量清单。</w:t>
            </w:r>
          </w:p>
          <w:p>
            <w:pPr>
              <w:pStyle w:val="null3"/>
              <w:spacing w:before="30"/>
              <w:ind w:left="105"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工程地点：陕西省西安市蓝田县焦岱镇</w:t>
            </w:r>
          </w:p>
          <w:p>
            <w:pPr>
              <w:pStyle w:val="null3"/>
              <w:spacing w:before="30"/>
              <w:ind w:left="105"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计划工期：自合同签订之日起</w:t>
            </w:r>
            <w:r>
              <w:rPr>
                <w:rFonts w:ascii="仿宋_GB2312" w:hAnsi="仿宋_GB2312" w:cs="仿宋_GB2312" w:eastAsia="仿宋_GB2312"/>
                <w:sz w:val="24"/>
                <w:color w:val="000000"/>
              </w:rPr>
              <w:t>60个日历日。</w:t>
            </w:r>
          </w:p>
          <w:p>
            <w:pPr>
              <w:pStyle w:val="null3"/>
              <w:spacing w:before="30"/>
              <w:ind w:left="105"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质量标准：达到国家及行业施工验收规范</w:t>
            </w:r>
            <w:r>
              <w:rPr>
                <w:rFonts w:ascii="仿宋_GB2312" w:hAnsi="仿宋_GB2312" w:cs="仿宋_GB2312" w:eastAsia="仿宋_GB2312"/>
                <w:sz w:val="24"/>
                <w:color w:val="000000"/>
              </w:rPr>
              <w:t>“合格”标准</w:t>
            </w:r>
          </w:p>
          <w:p>
            <w:pPr>
              <w:pStyle w:val="null3"/>
              <w:spacing w:before="30"/>
              <w:ind w:left="105"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质量保修期</w:t>
            </w:r>
          </w:p>
          <w:p>
            <w:pPr>
              <w:pStyle w:val="null3"/>
              <w:spacing w:before="30"/>
              <w:ind w:left="105"/>
              <w:jc w:val="left"/>
              <w:outlineLvl w:val="3"/>
            </w:pPr>
            <w:r>
              <w:rPr>
                <w:rFonts w:ascii="仿宋_GB2312" w:hAnsi="仿宋_GB2312" w:cs="仿宋_GB2312" w:eastAsia="仿宋_GB2312"/>
                <w:sz w:val="24"/>
                <w:b/>
                <w:color w:val="000000"/>
              </w:rPr>
              <w:t xml:space="preserve">  （1）屋面防水工程、有防水要求的卫生间、房间和外墙面的防渗为 5 年；</w:t>
            </w:r>
          </w:p>
          <w:p>
            <w:pPr>
              <w:pStyle w:val="null3"/>
              <w:spacing w:before="30"/>
              <w:ind w:left="105"/>
              <w:jc w:val="left"/>
              <w:outlineLvl w:val="3"/>
            </w:pPr>
            <w:r>
              <w:rPr>
                <w:rFonts w:ascii="仿宋_GB2312" w:hAnsi="仿宋_GB2312" w:cs="仿宋_GB2312" w:eastAsia="仿宋_GB2312"/>
                <w:sz w:val="24"/>
                <w:b/>
                <w:color w:val="000000"/>
              </w:rPr>
              <w:t xml:space="preserve">  （2）装修工程为 2年；</w:t>
            </w:r>
          </w:p>
          <w:p>
            <w:pPr>
              <w:pStyle w:val="null3"/>
              <w:spacing w:before="30"/>
              <w:ind w:left="105"/>
              <w:jc w:val="left"/>
              <w:outlineLvl w:val="3"/>
            </w:pPr>
            <w:r>
              <w:rPr>
                <w:rFonts w:ascii="仿宋_GB2312" w:hAnsi="仿宋_GB2312" w:cs="仿宋_GB2312" w:eastAsia="仿宋_GB2312"/>
                <w:sz w:val="24"/>
                <w:b/>
                <w:color w:val="000000"/>
              </w:rPr>
              <w:t xml:space="preserve">  （3）电气管线、给排水管道、设备安装工程为 2 年；</w:t>
            </w:r>
          </w:p>
          <w:p>
            <w:pPr>
              <w:pStyle w:val="null3"/>
              <w:spacing w:before="30"/>
              <w:ind w:left="105"/>
              <w:jc w:val="left"/>
              <w:outlineLvl w:val="3"/>
            </w:pPr>
            <w:r>
              <w:rPr>
                <w:rFonts w:ascii="仿宋_GB2312" w:hAnsi="仿宋_GB2312" w:cs="仿宋_GB2312" w:eastAsia="仿宋_GB2312"/>
                <w:sz w:val="24"/>
                <w:b/>
                <w:color w:val="000000"/>
              </w:rPr>
              <w:t xml:space="preserve">  （4）给排水设施、道路等配套工程为 2 年；</w:t>
            </w:r>
          </w:p>
          <w:p>
            <w:pPr>
              <w:pStyle w:val="null3"/>
              <w:spacing w:before="30"/>
              <w:ind w:left="105"/>
              <w:jc w:val="left"/>
              <w:outlineLvl w:val="3"/>
            </w:pPr>
            <w:r>
              <w:rPr>
                <w:rFonts w:ascii="仿宋_GB2312" w:hAnsi="仿宋_GB2312" w:cs="仿宋_GB2312" w:eastAsia="仿宋_GB2312"/>
                <w:sz w:val="24"/>
                <w:b/>
                <w:color w:val="000000"/>
              </w:rPr>
              <w:t xml:space="preserve"> </w:t>
            </w:r>
            <w:r>
              <w:rPr>
                <w:rFonts w:ascii="仿宋_GB2312" w:hAnsi="仿宋_GB2312" w:cs="仿宋_GB2312" w:eastAsia="仿宋_GB2312"/>
                <w:sz w:val="24"/>
                <w:b/>
                <w:color w:val="000000"/>
              </w:rPr>
              <w:t xml:space="preserve"> </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5</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质量保修期自工程竣工验收合格之日起计算。</w:t>
            </w:r>
          </w:p>
          <w:p>
            <w:pPr>
              <w:pStyle w:val="null3"/>
              <w:spacing w:before="30"/>
              <w:jc w:val="left"/>
            </w:pPr>
            <w:r>
              <w:rPr>
                <w:rFonts w:ascii="仿宋_GB2312" w:hAnsi="仿宋_GB2312" w:cs="仿宋_GB2312" w:eastAsia="仿宋_GB2312"/>
                <w:sz w:val="24"/>
                <w:color w:val="000000"/>
              </w:rPr>
              <w:t>二、工程量清单和计价依据</w:t>
            </w:r>
          </w:p>
          <w:p>
            <w:pPr>
              <w:pStyle w:val="null3"/>
              <w:spacing w:before="3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1）编制依据</w:t>
            </w:r>
          </w:p>
          <w:p>
            <w:pPr>
              <w:pStyle w:val="null3"/>
              <w:spacing w:before="30"/>
              <w:ind w:left="105" w:firstLine="480"/>
              <w:jc w:val="left"/>
            </w:pPr>
            <w:r>
              <w:rPr>
                <w:rFonts w:ascii="仿宋_GB2312" w:hAnsi="仿宋_GB2312" w:cs="仿宋_GB2312" w:eastAsia="仿宋_GB2312"/>
                <w:sz w:val="24"/>
                <w:color w:val="000000"/>
              </w:rPr>
              <w:t>1、《陕西省建设工程计价标准》（2025）；</w:t>
            </w:r>
          </w:p>
          <w:p>
            <w:pPr>
              <w:pStyle w:val="null3"/>
              <w:spacing w:before="30"/>
              <w:ind w:left="105" w:firstLine="480"/>
              <w:jc w:val="left"/>
            </w:pPr>
            <w:r>
              <w:rPr>
                <w:rFonts w:ascii="仿宋_GB2312" w:hAnsi="仿宋_GB2312" w:cs="仿宋_GB2312" w:eastAsia="仿宋_GB2312"/>
                <w:sz w:val="24"/>
                <w:color w:val="000000"/>
              </w:rPr>
              <w:t>2、《陕西省房屋建筑与装饰工程工程量计算标准》（2025）、《陕西省通用安装工程工程量计算标准》（2025）、《陕西省市政工程工程量计算标准》（2025）、《陕西省园林绿化工程工程量计算标准》（2025）、《陕西省城市地下综合管廊工程量计算标准》（2025）、《陕西省绿色建筑工程量计算标准》（2025）、《陕西省建设工程费用定额》（2025）；</w:t>
            </w:r>
          </w:p>
          <w:p>
            <w:pPr>
              <w:pStyle w:val="null3"/>
              <w:spacing w:before="30"/>
              <w:ind w:left="105" w:firstLine="480"/>
              <w:jc w:val="left"/>
            </w:pPr>
            <w:r>
              <w:rPr>
                <w:rFonts w:ascii="仿宋_GB2312" w:hAnsi="仿宋_GB2312" w:cs="仿宋_GB2312" w:eastAsia="仿宋_GB2312"/>
                <w:sz w:val="24"/>
                <w:color w:val="000000"/>
              </w:rPr>
              <w:t>3、建设工程设计文件、图纸问题答疑及相关资料；</w:t>
            </w:r>
          </w:p>
          <w:p>
            <w:pPr>
              <w:pStyle w:val="null3"/>
              <w:spacing w:before="30"/>
              <w:ind w:left="105" w:firstLine="480"/>
              <w:jc w:val="left"/>
            </w:pPr>
            <w:r>
              <w:rPr>
                <w:rFonts w:ascii="仿宋_GB2312" w:hAnsi="仿宋_GB2312" w:cs="仿宋_GB2312" w:eastAsia="仿宋_GB2312"/>
                <w:sz w:val="24"/>
                <w:color w:val="000000"/>
              </w:rPr>
              <w:t>4、与建设工程有关的标准、规范及技术资料；</w:t>
            </w:r>
          </w:p>
          <w:p>
            <w:pPr>
              <w:pStyle w:val="null3"/>
              <w:spacing w:before="30"/>
              <w:ind w:left="105" w:firstLine="480"/>
              <w:jc w:val="left"/>
            </w:pPr>
            <w:r>
              <w:rPr>
                <w:rFonts w:ascii="仿宋_GB2312" w:hAnsi="仿宋_GB2312" w:cs="仿宋_GB2312" w:eastAsia="仿宋_GB2312"/>
                <w:sz w:val="24"/>
                <w:color w:val="000000"/>
              </w:rPr>
              <w:t>5、施工现场情况 地勘水文资料、工程特点及常规施工方案；</w:t>
            </w:r>
          </w:p>
          <w:p>
            <w:pPr>
              <w:pStyle w:val="null3"/>
              <w:spacing w:before="30"/>
              <w:ind w:left="105" w:firstLine="480"/>
              <w:jc w:val="left"/>
            </w:pPr>
            <w:r>
              <w:rPr>
                <w:rFonts w:ascii="仿宋_GB2312" w:hAnsi="仿宋_GB2312" w:cs="仿宋_GB2312" w:eastAsia="仿宋_GB2312"/>
                <w:sz w:val="24"/>
                <w:color w:val="000000"/>
              </w:rPr>
              <w:t>6、其他相关资料；</w:t>
            </w:r>
          </w:p>
          <w:p>
            <w:pPr>
              <w:pStyle w:val="null3"/>
              <w:spacing w:before="3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2）其他说明</w:t>
            </w:r>
          </w:p>
          <w:p>
            <w:pPr>
              <w:pStyle w:val="null3"/>
              <w:spacing w:before="30"/>
              <w:ind w:left="105" w:firstLine="480"/>
              <w:jc w:val="left"/>
            </w:pPr>
            <w:r>
              <w:rPr>
                <w:rFonts w:ascii="仿宋_GB2312" w:hAnsi="仿宋_GB2312" w:cs="仿宋_GB2312" w:eastAsia="仿宋_GB2312"/>
                <w:sz w:val="24"/>
                <w:color w:val="000000"/>
              </w:rPr>
              <w:t>1、AB段挡墙其中水泥混凝土道路面层宽度暂定为3m，招标工程量清单为暂定量。</w:t>
            </w:r>
          </w:p>
          <w:p>
            <w:pPr>
              <w:pStyle w:val="null3"/>
              <w:spacing w:before="3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3）计价软件</w:t>
            </w:r>
          </w:p>
          <w:p>
            <w:pPr>
              <w:pStyle w:val="null3"/>
              <w:spacing w:before="30"/>
              <w:ind w:left="105" w:firstLine="480"/>
              <w:jc w:val="both"/>
            </w:pPr>
            <w:r>
              <w:rPr>
                <w:rFonts w:ascii="仿宋_GB2312" w:hAnsi="仿宋_GB2312" w:cs="仿宋_GB2312" w:eastAsia="仿宋_GB2312"/>
                <w:sz w:val="24"/>
                <w:color w:val="000000"/>
              </w:rPr>
              <w:t xml:space="preserve">    计价软件及取费程序执行广联达软件GCCP7.0中的清单计价模式，软件版本为陕西7.5000.23.2。</w:t>
            </w:r>
          </w:p>
          <w:p>
            <w:pPr>
              <w:pStyle w:val="null3"/>
              <w:spacing w:before="30"/>
              <w:jc w:val="left"/>
            </w:pPr>
            <w:r>
              <w:rPr>
                <w:rFonts w:ascii="仿宋_GB2312" w:hAnsi="仿宋_GB2312" w:cs="仿宋_GB2312" w:eastAsia="仿宋_GB2312"/>
                <w:sz w:val="24"/>
                <w:color w:val="000000"/>
              </w:rPr>
              <w:t>三、商务要求（如合同价款及结算方式等）</w:t>
            </w:r>
          </w:p>
          <w:p>
            <w:pPr>
              <w:pStyle w:val="null3"/>
              <w:spacing w:before="30"/>
              <w:ind w:left="105"/>
              <w:jc w:val="left"/>
              <w:outlineLvl w:val="3"/>
            </w:pPr>
            <w:r>
              <w:rPr>
                <w:rFonts w:ascii="仿宋_GB2312" w:hAnsi="仿宋_GB2312" w:cs="仿宋_GB2312" w:eastAsia="仿宋_GB2312"/>
                <w:sz w:val="24"/>
                <w:b/>
                <w:color w:val="000000"/>
              </w:rPr>
              <w:t>1、结算单位：采购人结算，在付款前，必须开具全额（等额）增值税发票给采购人。</w:t>
            </w:r>
          </w:p>
          <w:p>
            <w:pPr>
              <w:pStyle w:val="null3"/>
            </w:pPr>
            <w:r>
              <w:rPr>
                <w:rFonts w:ascii="仿宋_GB2312" w:hAnsi="仿宋_GB2312" w:cs="仿宋_GB2312" w:eastAsia="仿宋_GB2312"/>
                <w:sz w:val="24"/>
                <w:color w:val="000000"/>
              </w:rPr>
              <w:t>2、付款方式：（1）双方签订合同后，支付合同总金额的百分之四十（40%）预付款，工程竣工验收合格付至工程款90%，待工程审计结束付清至100%。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达到国家现行行业施工验收规范“合格”标准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详见竞争性磋商文件</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成交供应商在领取成交通知书前须无偿为采购人提供盖章齐全的纸质版投标文件三套，正本1套，副本2套，纸质版应与电子投标文件保持一致。正本应为彩色打印件，副本可采用正本的复印件。纸质版文件与电子投标文件不一致由此造成的一切责任及后果由供应商自行承担。项目结束后中标（成交）单位纸质版投标文件递交地址：陕西省西安市未央区未央城建大厦7层，邵工，029-89373763。 3.3.2本项目专门面向中小企业，供应商应为中型、小型、微型企业或监狱企业或残疾人福利性单位。项目所属行业：（根据《工业和信息化部、国家统计局、国家发展和改革委员会、财政部关于印发中小企业划型标准规定的通知》（工信部联企业〔2011〕300 号）规定的划分标准：（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3.3.3落实政府采购政策：①、《关于进一步加大政府采购支持中小企业力度的通知》（财库〔2022〕19号）、《政府采购促进中小企业发展管理办法》（财库〔2020〕46号）、《关于政府采购支持监狱企业发展有关问题的通知》（财库〔2014〕68号）、《关于促进残疾人就业政府采购政策的通知》（财库〔2017〕141号）。 ②、《财政部 农业农村部 国家乡村振兴局关于运用政府采购政策支持乡村产业振兴的通知》（财库〔2021〕19号）、《财政部农业农村部国家乡村振兴局 中华全国供销合作总社关于印发&lt;关于深入开展政府采购脱贫地区农副产品工作推进乡村产业振兴的实施意见&gt;的通知》（财库〔2021〕20号）。 ③、《国家互联网信息办公室 工业和信息化部 公安部 财政部 国家认证认可监督管理委员会关于调整网络安全专用产品安全管理有关事项的公告》（2023年第1号）。 ④、《陕西省财政厅关于加快推进我省中小企业政府采购信用融资工作的通知》（陕财办采〔2020〕15 号）、陕西省财政厅关于印发《陕西省中小企业政府采购信用融资办法》（陕财办采〔2018〕23 号）、《陕西省财政厅、中国人民银行西安分行关于深入推进政府采购信用融资业务的通知》陕财办采〔2023〕5号。 ⑤、国务院办公厅《关于建立政府强制采购节能产品制度的通知》（国办发〔2007〕51号） 《财政部 发展改革委 生态环境部 国家监管总局关于调整优化节能产品、环境标志产品政府采购执行机制的通知》（财库〔2019〕9号） 《关于印发环境标志产品政府采购品目清单的通知》（财库〔2019〕18号） 《关于印发节能产品政府采购品目清单的通知》（财库〔2019〕19号） 陕西省财政厅《关于进一步加强政府绿色采购有关问题的通知》（陕财办采〔2021〕29号） 《政府采购支持绿色建材促进建筑品质提升政策项目实施指南》的通知(财库〔2023〕52号)及《关于扩大政府采购支持绿色建材促进建筑品质提升政策实施范围的通知》(财库〔2022〕35号) 若享受以上政策优惠的企业，提供相应声明函或品目清单范围内产品的有效认证证书。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标的清单 响应函 资格证明文件.docx 监狱企业的证明文件 商务、技术文件.docx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财务状况报告：提供具有财务审计资质单位出具的2024年度年度财务审计报告（成立时间至开标时间不足一年的可提供成立后任意时段的资产负债表）或开标前六个月内其基本账户银行出具的资信证明（附开户许可证或基本账户证明）或政府采购信用担保机构出具的投标担保函； （3）税收缴纳证明：提供磋商截止日前一年内已缴纳的至少一个月的纳税证明或完税证明，依法免税的单位应提供相关证明材料；依法免税的供应商提供相应文件证明其依法免税； （4）提供磋商截止日前一年内已缴存的至少一个月的社会保障资金缴存单据或社保机构开具的社会保险参保缴费情况证明，依法不需要缴纳社会保障资金的单位应提供相关证明材料； （5）提供具有履行本合同所必需的设备和专业技术能力的说明及承诺（加盖供应商公章）； （6）提供参加政府采购活动前三年内在经营活动中没有重大违法记录的书面声明（提供书面声明，加盖供应商公章）。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年度财务审计报告（成立时间至开标时间不足一年的可提供成立后任意时段的资产负债表）或开标前六个月内其基本账户银行出具的资信证明（附开户许可证或基本账户证明）或政府采购信用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提供磋商截止日前一年内已缴纳的至少一个月的纳税证明或完税证明，依法免税的单位应提供相关证明材料；依法免税的供应商提供相应文件证明其依法免税；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供应商具备建设行政主管部门核发的建筑工程施工总承包三级（含三级）及以上资质；具备有效的安全生产许可证；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拟派项目经理须具有在本单位注册的建筑工程二级（含二级）及以上建造师资质，具备有效的安全生产考核合格证书，且无不良信用记录，无在建工程；</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法定代表人或单位负责人参加磋商的，应提供法定代表人或单位负责人身份证明。授权代表参加磋商的，应提供法定代表人或单位负责人身份证明、授权委托书及授权代表在本单位近一个月的社保缴纳证明；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本项目不接受联合体竞争性磋商。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商务、技术文件.docx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响应文件的签字盖章是否合格</w:t>
            </w:r>
          </w:p>
        </w:tc>
        <w:tc>
          <w:tcPr>
            <w:tcW w:type="dxa" w:w="3322"/>
          </w:tcPr>
          <w:p>
            <w:pPr>
              <w:pStyle w:val="null3"/>
            </w:pPr>
            <w:r>
              <w:rPr>
                <w:rFonts w:ascii="仿宋_GB2312" w:hAnsi="仿宋_GB2312" w:cs="仿宋_GB2312" w:eastAsia="仿宋_GB2312"/>
              </w:rPr>
              <w:t>磋商文件要求须签字盖章的地方均已签字、盖章</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标的清单 响应函 资格证明文件.docx 监狱企业的证明文件 商务、技术文件.docx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（1）磋商报价符合唯一性要求；（2）计量单位、报价货币均符合磋商文件要求；（3）未超出采购文件规定的最高限价。</w:t>
            </w:r>
          </w:p>
        </w:tc>
        <w:tc>
          <w:tcPr>
            <w:tcW w:type="dxa" w:w="1661"/>
          </w:tcPr>
          <w:p>
            <w:pPr>
              <w:pStyle w:val="null3"/>
            </w:pPr>
            <w:r>
              <w:rPr>
                <w:rFonts w:ascii="仿宋_GB2312" w:hAnsi="仿宋_GB2312" w:cs="仿宋_GB2312" w:eastAsia="仿宋_GB2312"/>
              </w:rPr>
              <w:t>已标价工程量清单 报价函 标的清单 响应函 商务、技术文件.docx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符合竞争性磋商文件的规定</w:t>
            </w:r>
          </w:p>
        </w:tc>
        <w:tc>
          <w:tcPr>
            <w:tcW w:type="dxa" w:w="1661"/>
          </w:tcPr>
          <w:p>
            <w:pPr>
              <w:pStyle w:val="null3"/>
            </w:pPr>
            <w:r>
              <w:rPr>
                <w:rFonts w:ascii="仿宋_GB2312" w:hAnsi="仿宋_GB2312" w:cs="仿宋_GB2312" w:eastAsia="仿宋_GB2312"/>
              </w:rPr>
              <w:t>已标价工程量清单 报价函 标的清单 响应函 商务、技术文件.docx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符合竞争性磋商文件的规定</w:t>
            </w:r>
          </w:p>
        </w:tc>
        <w:tc>
          <w:tcPr>
            <w:tcW w:type="dxa" w:w="1661"/>
          </w:tcPr>
          <w:p>
            <w:pPr>
              <w:pStyle w:val="null3"/>
            </w:pPr>
            <w:r>
              <w:rPr>
                <w:rFonts w:ascii="仿宋_GB2312" w:hAnsi="仿宋_GB2312" w:cs="仿宋_GB2312" w:eastAsia="仿宋_GB2312"/>
              </w:rPr>
              <w:t>报价函 标的清单 响应函 资格证明文件.docx 商务、技术文件.docx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符合竞争性磋商文件的规定</w:t>
            </w:r>
          </w:p>
        </w:tc>
        <w:tc>
          <w:tcPr>
            <w:tcW w:type="dxa" w:w="1661"/>
          </w:tcPr>
          <w:p>
            <w:pPr>
              <w:pStyle w:val="null3"/>
            </w:pPr>
            <w:r>
              <w:rPr>
                <w:rFonts w:ascii="仿宋_GB2312" w:hAnsi="仿宋_GB2312" w:cs="仿宋_GB2312" w:eastAsia="仿宋_GB2312"/>
              </w:rPr>
              <w:t>报价函 标的清单 响应函 商务、技术文件.docx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权利义务</w:t>
            </w:r>
          </w:p>
        </w:tc>
        <w:tc>
          <w:tcPr>
            <w:tcW w:type="dxa" w:w="3322"/>
          </w:tcPr>
          <w:p>
            <w:pPr>
              <w:pStyle w:val="null3"/>
            </w:pPr>
            <w:r>
              <w:rPr>
                <w:rFonts w:ascii="仿宋_GB2312" w:hAnsi="仿宋_GB2312" w:cs="仿宋_GB2312" w:eastAsia="仿宋_GB2312"/>
              </w:rPr>
              <w:t>符合“政府采购合同格式”条款中实质性要求和条件</w:t>
            </w:r>
          </w:p>
        </w:tc>
        <w:tc>
          <w:tcPr>
            <w:tcW w:type="dxa" w:w="1661"/>
          </w:tcPr>
          <w:p>
            <w:pPr>
              <w:pStyle w:val="null3"/>
            </w:pPr>
            <w:r>
              <w:rPr>
                <w:rFonts w:ascii="仿宋_GB2312" w:hAnsi="仿宋_GB2312" w:cs="仿宋_GB2312" w:eastAsia="仿宋_GB2312"/>
              </w:rPr>
              <w:t>已标价工程量清单 中小企业声明函 报价函 标的清单 响应函 资格证明文件.docx 商务、技术文件.docx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依据供应商提供的本项目的总体施工方案评审：内容完整、可实施、且有针对性得6分；内容完整、可实施得4分；方案基本完整得2分；未提供不得分。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安全管理方案</w:t>
            </w:r>
          </w:p>
        </w:tc>
        <w:tc>
          <w:tcPr>
            <w:tcW w:type="dxa" w:w="2492"/>
          </w:tcPr>
          <w:p>
            <w:pPr>
              <w:pStyle w:val="null3"/>
            </w:pPr>
            <w:r>
              <w:rPr>
                <w:rFonts w:ascii="仿宋_GB2312" w:hAnsi="仿宋_GB2312" w:cs="仿宋_GB2312" w:eastAsia="仿宋_GB2312"/>
              </w:rPr>
              <w:t>依据供应商提供的本项目的安全管理方案评审，内容包含： ①施工人员安全管理方案（3分）：内容完整、可实施、且有针对性得3分；内容完整、可实施得2分；方案基本完整得1分；未提供不得分。 ②施工现场安全管理方案（3分）：内容完整、可实施、且有针对性得3分；内容完整、可实施得2分；方案基本完整得1分；未提供不得分。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根据项目情况配备实施团队，人员数量、专业结构合理，技术能力强，经验丰富。内容完整、可实施、且有针对性6分；方案基本完整得3分；未提供不得分。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确保工程质量和安全生产的技术组织措施</w:t>
            </w:r>
          </w:p>
        </w:tc>
        <w:tc>
          <w:tcPr>
            <w:tcW w:type="dxa" w:w="2492"/>
          </w:tcPr>
          <w:p>
            <w:pPr>
              <w:pStyle w:val="null3"/>
            </w:pPr>
            <w:r>
              <w:rPr>
                <w:rFonts w:ascii="仿宋_GB2312" w:hAnsi="仿宋_GB2312" w:cs="仿宋_GB2312" w:eastAsia="仿宋_GB2312"/>
              </w:rPr>
              <w:t>依据供应商提供的本项目的确保工程质量和安全生产的技术组织措施评审，内容包含： ①质量检查措施（3分）：内容完整、可实施、且有针对性得3分；内容完整、可实施得2分；方案基本完整得1分；未提供不得分。 ②质量预防及控制措施（3分）：内容完整、可实施、且有针对性得3分；内容完整、可实施得2分；方案基本完整得1分；未提供不得分； ③安全技术措施（3分）：内容完整、可实施、且有针对性得3分；内容完整、可实施得2分；方案基本完整得1分；未提供不得分。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确保文明施工和环境保护的的技术组织措施</w:t>
            </w:r>
          </w:p>
        </w:tc>
        <w:tc>
          <w:tcPr>
            <w:tcW w:type="dxa" w:w="2492"/>
          </w:tcPr>
          <w:p>
            <w:pPr>
              <w:pStyle w:val="null3"/>
            </w:pPr>
            <w:r>
              <w:rPr>
                <w:rFonts w:ascii="仿宋_GB2312" w:hAnsi="仿宋_GB2312" w:cs="仿宋_GB2312" w:eastAsia="仿宋_GB2312"/>
              </w:rPr>
              <w:t>依据供应商提供的本项目的确保文明施工的技术组织措施及环境保护措施评审，内容包含： ①文明施工目标（3分）：内容完整、可实施、且有针对性得3分；内容完整、可实施得2分；方案基本完整得1分；未提供不得分。 ②防扰民措施（3分）：内容完整、可实施、且有针对性得3分；内容完整、可实施得2分；方案基本完整得1分；未提供不得分。 ③治污减霾和防尘污染措施（3分）：内容完整、可实施、且有针对性得3分；内容完整、可实施得2分；方案基本完整得1分；未提供不得分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依据供应商提供的本项目的确保工期的技术组织措施评审，内容包含： ①工期保障体系（3分）：内容完整、可实施、且有针对性得3分；内容完整、可实施得2分；方案基本完整得1分；未提供不得分。 ②控制方法（3分）：内容完整、可实施、且有针对性得3分；内容完整、可实施得2分；方案基本完整得1分；未提供不得分。 ③误期的补救措施：（3分）：内容完整、可实施、且有针对性得3分；内容完整、可实施得2分；方案基本完整得1分；未提供不得分。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项目的材料及机具配备保证措施</w:t>
            </w:r>
          </w:p>
        </w:tc>
        <w:tc>
          <w:tcPr>
            <w:tcW w:type="dxa" w:w="2492"/>
          </w:tcPr>
          <w:p>
            <w:pPr>
              <w:pStyle w:val="null3"/>
            </w:pPr>
            <w:r>
              <w:rPr>
                <w:rFonts w:ascii="仿宋_GB2312" w:hAnsi="仿宋_GB2312" w:cs="仿宋_GB2312" w:eastAsia="仿宋_GB2312"/>
              </w:rPr>
              <w:t>依据供应商提供的本项目的机具设备投入计划，且合理可行、有针对性、符合本工程特点，材料供应贴紧项目进度且数量充足，操作性强得5分；材料及机具配备较合理、基本符合本工程特点得3分；材料及机具配备内容一般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依据供应商提供的本项目的劳动力安排计划评审：内容完整、可实施、且有针对性得5分；内容完整、可实施得3分；方案基本完整得1分；未提供不得分。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项目风险预测与防范，事故应急预案</w:t>
            </w:r>
          </w:p>
        </w:tc>
        <w:tc>
          <w:tcPr>
            <w:tcW w:type="dxa" w:w="2492"/>
          </w:tcPr>
          <w:p>
            <w:pPr>
              <w:pStyle w:val="null3"/>
            </w:pPr>
            <w:r>
              <w:rPr>
                <w:rFonts w:ascii="仿宋_GB2312" w:hAnsi="仿宋_GB2312" w:cs="仿宋_GB2312" w:eastAsia="仿宋_GB2312"/>
              </w:rPr>
              <w:t>依据供应商提供的本项目的项目风险预测与防范，事故应急预案；内容完整、可实施、且有针对性得5分；内容完整、可实施得3分；方案基本完整得1分；未提供不得分。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提供2023年1月（以合同签订时间为准）至今类似项目业绩合同，每份计2分，满分10分。（注：附业绩合同扫描件或复印件。）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商务、技术文件.docx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