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版本号：SDZC2026-04320260428001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2025年中央财政农业经营主体能力提升资金（基层农技推广体系改革与建设）项目(二次)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SDZC2026-043</w:t>
      </w:r>
      <w:r>
        <w:br/>
      </w:r>
      <w:r>
        <w:br/>
      </w:r>
      <w:r>
        <w:br/>
      </w:r>
    </w:p>
    <w:p>
      <w:pPr>
        <w:pStyle w:val="null3"/>
        <w:jc w:val="center"/>
        <w:outlineLvl w:val="2"/>
      </w:pPr>
      <w:r>
        <w:rPr>
          <w:rFonts w:ascii="仿宋_GB2312" w:hAnsi="仿宋_GB2312" w:cs="仿宋_GB2312" w:eastAsia="仿宋_GB2312"/>
          <w:sz w:val="28"/>
          <w:b/>
        </w:rPr>
        <w:t>西安市蓝田县农业技术推广中心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西安市蓝田县农业技术推广中心</w:t>
      </w:r>
      <w:r>
        <w:rPr>
          <w:rFonts w:ascii="仿宋_GB2312" w:hAnsi="仿宋_GB2312" w:cs="仿宋_GB2312" w:eastAsia="仿宋_GB2312"/>
        </w:rPr>
        <w:t>委托，拟对</w:t>
      </w:r>
      <w:r>
        <w:rPr>
          <w:rFonts w:ascii="仿宋_GB2312" w:hAnsi="仿宋_GB2312" w:cs="仿宋_GB2312" w:eastAsia="仿宋_GB2312"/>
        </w:rPr>
        <w:t>2025年中央财政农业经营主体能力提升资金（基层农技推广体系改革与建设）项目(二次)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2025年中央财政农业经营主体能力提升资金（基层农技推广体系改革与建设）项目(二次)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采购肥料等一批。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3、税收缴纳证明：税收缴纳证明：提供2025年4月至今任意一个月的缴纳凭据（增值税、企业所得税至少一种）；（依法免税的供应商应提供相关文件证明）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4、社会保障资金缴纳证明：社会保障资金缴纳证明：提供2025年11月至今任意一个月的社保缴纳凭据或社保机构开具的社会保险参保缴纳情况证明；（依法不需要缴纳社会保障资金的供应商应提供相关证明）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8、提供生产厂家有效期内的肥料登记证或农业农村部登记备案证明：提供生产厂家有效期内的肥料登记证或农业农村部登记备案证明；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3、税收缴纳证明：税收缴纳证明：提供2025年4月至今任意一个月的缴纳凭据（增值税、企业所得税至少一种）；（依法免税的供应商应提供相关文件证明）</w:t>
      </w:r>
    </w:p>
    <w:p>
      <w:pPr>
        <w:pStyle w:val="null3"/>
      </w:pPr>
      <w:r>
        <w:rPr>
          <w:rFonts w:ascii="仿宋_GB2312" w:hAnsi="仿宋_GB2312" w:cs="仿宋_GB2312" w:eastAsia="仿宋_GB2312"/>
        </w:rPr>
        <w:t>4、社会保障资金缴纳证明：社会保障资金缴纳证明：提供2025年11月至今任意一个月的社保缴纳凭据或社保机构开具的社会保险参保缴纳情况证明；（依法不需要缴纳社会保障资金的供应商应提供相关证明）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8、提供生产厂家有效期内的肥料登记证或农业农村部登记备案证明：提供生产厂家有效期内的肥料登记证或农业农村部登记备案证明；</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刘彬博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18693400801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采购包1：318,000.00元</w:t>
            </w:r>
          </w:p>
          <w:p>
            <w:pPr>
              <w:pStyle w:val="null3"/>
            </w:pPr>
            <w:r>
              <w:rPr>
                <w:rFonts w:ascii="仿宋_GB2312" w:hAnsi="仿宋_GB2312" w:cs="仿宋_GB2312" w:eastAsia="仿宋_GB2312"/>
              </w:rPr>
              <w:t>采购包2：273,000.00元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2.开户行：西安银行股份有限公司文景路支行 3.帐 号：707011510000013522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西安市蓝田县农业技术推广中心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西安市蓝田县农业技术推广中心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符合国家的标准和有关规定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符合国家的标准和有关规定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联系人：宋芳芳（4号工位）、王涛、魏蕾</w:t>
      </w:r>
    </w:p>
    <w:p>
      <w:pPr>
        <w:pStyle w:val="null3"/>
      </w:pPr>
      <w:r>
        <w:rPr>
          <w:rFonts w:ascii="仿宋_GB2312" w:hAnsi="仿宋_GB2312" w:cs="仿宋_GB2312" w:eastAsia="仿宋_GB2312"/>
        </w:rPr>
        <w:t>联系电话：029-86673953/86518381/89299829/89293231转804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采购肥料等一批。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配送前卫 安村 孟村等镇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273,000.00</w:t>
      </w:r>
    </w:p>
    <w:p>
      <w:pPr>
        <w:pStyle w:val="null3"/>
      </w:pPr>
      <w:r>
        <w:rPr>
          <w:rFonts w:ascii="仿宋_GB2312" w:hAnsi="仿宋_GB2312" w:cs="仿宋_GB2312" w:eastAsia="仿宋_GB2312"/>
        </w:rPr>
        <w:t>采购包最高限价（元）: 273,000.00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配送洩湖等9个镇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标的名称：配送前卫 安村 孟村等镇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526"/>
              <w:gridCol w:w="1417"/>
              <w:gridCol w:w="352"/>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技术指标要求</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r>
                    <w:rPr>
                      <w:rFonts w:ascii="仿宋_GB2312" w:hAnsi="仿宋_GB2312" w:cs="仿宋_GB2312" w:eastAsia="仿宋_GB2312"/>
                      <w:sz w:val="24"/>
                    </w:rPr>
                    <w:t>缓</w:t>
                  </w:r>
                  <w:r>
                    <w:rPr>
                      <w:rFonts w:ascii="仿宋_GB2312" w:hAnsi="仿宋_GB2312" w:cs="仿宋_GB2312" w:eastAsia="仿宋_GB2312"/>
                      <w:sz w:val="24"/>
                    </w:rPr>
                    <w:t>/</w:t>
                  </w:r>
                  <w:r>
                    <w:rPr>
                      <w:rFonts w:ascii="仿宋_GB2312" w:hAnsi="仿宋_GB2312" w:cs="仿宋_GB2312" w:eastAsia="仿宋_GB2312"/>
                      <w:sz w:val="24"/>
                    </w:rPr>
                    <w:t>控释肥</w:t>
                  </w:r>
                </w:p>
                <w:p>
                  <w:pPr>
                    <w:pStyle w:val="null3"/>
                    <w:jc w:val="center"/>
                  </w:pPr>
                  <w:r>
                    <w:rPr>
                      <w:rFonts w:ascii="仿宋_GB2312" w:hAnsi="仿宋_GB2312" w:cs="仿宋_GB2312" w:eastAsia="仿宋_GB2312"/>
                      <w:sz w:val="19"/>
                    </w:rPr>
                    <w:t>（核心产品）</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氮磷钾：</w:t>
                  </w:r>
                  <w:r>
                    <w:rPr>
                      <w:rFonts w:ascii="仿宋_GB2312" w:hAnsi="仿宋_GB2312" w:cs="仿宋_GB2312" w:eastAsia="仿宋_GB2312"/>
                      <w:sz w:val="24"/>
                    </w:rPr>
                    <w:t>≥40%</w:t>
                  </w:r>
                </w:p>
                <w:p>
                  <w:pPr>
                    <w:pStyle w:val="null3"/>
                    <w:ind w:firstLine="240"/>
                    <w:jc w:val="center"/>
                  </w:pPr>
                  <w:r>
                    <w:rPr>
                      <w:rFonts w:ascii="仿宋_GB2312" w:hAnsi="仿宋_GB2312" w:cs="仿宋_GB2312" w:eastAsia="仿宋_GB2312"/>
                      <w:sz w:val="24"/>
                    </w:rPr>
                    <w:t>包装</w:t>
                  </w:r>
                  <w:r>
                    <w:rPr>
                      <w:rFonts w:ascii="仿宋_GB2312" w:hAnsi="仿宋_GB2312" w:cs="仿宋_GB2312" w:eastAsia="仿宋_GB2312"/>
                      <w:sz w:val="24"/>
                    </w:rPr>
                    <w:t>40kg/袋</w:t>
                  </w:r>
                </w:p>
                <w:p>
                  <w:pPr>
                    <w:pStyle w:val="null3"/>
                    <w:ind w:firstLine="240"/>
                    <w:jc w:val="center"/>
                  </w:pPr>
                  <w:r>
                    <w:rPr>
                      <w:rFonts w:ascii="仿宋_GB2312" w:hAnsi="仿宋_GB2312" w:cs="仿宋_GB2312" w:eastAsia="仿宋_GB2312"/>
                      <w:sz w:val="24"/>
                    </w:rPr>
                    <w:t>执行标准：</w:t>
                  </w:r>
                  <w:r>
                    <w:rPr>
                      <w:rFonts w:ascii="仿宋_GB2312" w:hAnsi="仿宋_GB2312" w:cs="仿宋_GB2312" w:eastAsia="仿宋_GB2312"/>
                      <w:sz w:val="24"/>
                    </w:rPr>
                    <w:t>GB/T23348-2009</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大量元素水溶肥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r>
                    <w:rPr>
                      <w:rFonts w:ascii="仿宋_GB2312" w:hAnsi="仿宋_GB2312" w:cs="仿宋_GB2312" w:eastAsia="仿宋_GB2312"/>
                      <w:sz w:val="24"/>
                    </w:rPr>
                    <w:t>≥20-20-20（不含氯）（粉剂）（20kg/袋）</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NY/T1107-2010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6.14吨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氨基酸水溶肥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游离氨基酸</w:t>
                  </w:r>
                  <w:r>
                    <w:rPr>
                      <w:rFonts w:ascii="仿宋_GB2312" w:hAnsi="仿宋_GB2312" w:cs="仿宋_GB2312" w:eastAsia="仿宋_GB2312"/>
                      <w:sz w:val="24"/>
                    </w:rPr>
                    <w:t>≥100g/L</w:t>
                  </w:r>
                </w:p>
                <w:p>
                  <w:pPr>
                    <w:pStyle w:val="null3"/>
                    <w:jc w:val="center"/>
                  </w:pPr>
                  <w:r>
                    <w:rPr>
                      <w:rFonts w:ascii="仿宋_GB2312" w:hAnsi="仿宋_GB2312" w:cs="仿宋_GB2312" w:eastAsia="仿宋_GB2312"/>
                      <w:sz w:val="24"/>
                    </w:rPr>
                    <w:t>微量元素</w:t>
                  </w:r>
                  <w:r>
                    <w:rPr>
                      <w:rFonts w:ascii="仿宋_GB2312" w:hAnsi="仿宋_GB2312" w:cs="仿宋_GB2312" w:eastAsia="仿宋_GB2312"/>
                      <w:sz w:val="24"/>
                    </w:rPr>
                    <w:t>≥20g/L（不含氯）（水剂）（5kg/桶）</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NY1429-2010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平衡性复合肥</w:t>
                  </w:r>
                </w:p>
              </w:tc>
              <w:tc>
                <w:tcPr>
                  <w:tcW w:type="dxa" w:w="1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p>
                <w:p>
                  <w:pPr>
                    <w:pStyle w:val="null3"/>
                    <w:jc w:val="center"/>
                  </w:pPr>
                  <w:r>
                    <w:rPr>
                      <w:rFonts w:ascii="仿宋_GB2312" w:hAnsi="仿宋_GB2312" w:cs="仿宋_GB2312" w:eastAsia="仿宋_GB2312"/>
                      <w:sz w:val="24"/>
                    </w:rPr>
                    <w:t>17-17-17（低氯或不含氯）（颗粒）</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GB/T15063-2020</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13.76吨</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注：技术参数与性能指标为实质性响应内容，不得负偏离。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标的名称：配送洩湖等9个镇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504"/>
              <w:gridCol w:w="1443"/>
              <w:gridCol w:w="347"/>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1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技术指标要求</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w:t>
                  </w:r>
                  <w:r>
                    <w:rPr>
                      <w:rFonts w:ascii="仿宋_GB2312" w:hAnsi="仿宋_GB2312" w:cs="仿宋_GB2312" w:eastAsia="仿宋_GB2312"/>
                      <w:sz w:val="24"/>
                    </w:rPr>
                    <w:t>缓</w:t>
                  </w:r>
                  <w:r>
                    <w:rPr>
                      <w:rFonts w:ascii="仿宋_GB2312" w:hAnsi="仿宋_GB2312" w:cs="仿宋_GB2312" w:eastAsia="仿宋_GB2312"/>
                      <w:sz w:val="24"/>
                    </w:rPr>
                    <w:t>/</w:t>
                  </w:r>
                  <w:r>
                    <w:rPr>
                      <w:rFonts w:ascii="仿宋_GB2312" w:hAnsi="仿宋_GB2312" w:cs="仿宋_GB2312" w:eastAsia="仿宋_GB2312"/>
                      <w:sz w:val="24"/>
                    </w:rPr>
                    <w:t>控释肥</w:t>
                  </w:r>
                </w:p>
                <w:p>
                  <w:pPr>
                    <w:pStyle w:val="null3"/>
                    <w:jc w:val="center"/>
                  </w:pPr>
                  <w:r>
                    <w:rPr>
                      <w:rFonts w:ascii="仿宋_GB2312" w:hAnsi="仿宋_GB2312" w:cs="仿宋_GB2312" w:eastAsia="仿宋_GB2312"/>
                      <w:sz w:val="19"/>
                    </w:rPr>
                    <w:t>（核心产品）</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氮磷钾：</w:t>
                  </w:r>
                  <w:r>
                    <w:rPr>
                      <w:rFonts w:ascii="仿宋_GB2312" w:hAnsi="仿宋_GB2312" w:cs="仿宋_GB2312" w:eastAsia="仿宋_GB2312"/>
                      <w:sz w:val="24"/>
                    </w:rPr>
                    <w:t>≥40%</w:t>
                  </w:r>
                </w:p>
                <w:p>
                  <w:pPr>
                    <w:pStyle w:val="null3"/>
                    <w:ind w:firstLine="240"/>
                    <w:jc w:val="center"/>
                  </w:pPr>
                  <w:r>
                    <w:rPr>
                      <w:rFonts w:ascii="仿宋_GB2312" w:hAnsi="仿宋_GB2312" w:cs="仿宋_GB2312" w:eastAsia="仿宋_GB2312"/>
                      <w:sz w:val="24"/>
                    </w:rPr>
                    <w:t>包装</w:t>
                  </w:r>
                  <w:r>
                    <w:rPr>
                      <w:rFonts w:ascii="仿宋_GB2312" w:hAnsi="仿宋_GB2312" w:cs="仿宋_GB2312" w:eastAsia="仿宋_GB2312"/>
                      <w:sz w:val="24"/>
                    </w:rPr>
                    <w:t>：</w:t>
                  </w:r>
                  <w:r>
                    <w:rPr>
                      <w:rFonts w:ascii="仿宋_GB2312" w:hAnsi="仿宋_GB2312" w:cs="仿宋_GB2312" w:eastAsia="仿宋_GB2312"/>
                      <w:sz w:val="24"/>
                    </w:rPr>
                    <w:t>40kg/袋</w:t>
                  </w:r>
                </w:p>
                <w:p>
                  <w:pPr>
                    <w:pStyle w:val="null3"/>
                    <w:ind w:firstLine="240"/>
                    <w:jc w:val="center"/>
                  </w:pPr>
                  <w:r>
                    <w:rPr>
                      <w:rFonts w:ascii="仿宋_GB2312" w:hAnsi="仿宋_GB2312" w:cs="仿宋_GB2312" w:eastAsia="仿宋_GB2312"/>
                      <w:sz w:val="24"/>
                    </w:rPr>
                    <w:t>执行标准：</w:t>
                  </w:r>
                  <w:r>
                    <w:rPr>
                      <w:rFonts w:ascii="仿宋_GB2312" w:hAnsi="仿宋_GB2312" w:cs="仿宋_GB2312" w:eastAsia="仿宋_GB2312"/>
                      <w:sz w:val="24"/>
                    </w:rPr>
                    <w:t>GB/T23348-2009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大量元素水溶肥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r>
                    <w:rPr>
                      <w:rFonts w:ascii="仿宋_GB2312" w:hAnsi="仿宋_GB2312" w:cs="仿宋_GB2312" w:eastAsia="仿宋_GB2312"/>
                      <w:sz w:val="24"/>
                    </w:rPr>
                    <w:t>≥20-20-20（不含氯）（粉剂）（20kg/袋）</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NY/T1107-2010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氨基酸水溶肥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游离氨基酸</w:t>
                  </w:r>
                  <w:r>
                    <w:rPr>
                      <w:rFonts w:ascii="仿宋_GB2312" w:hAnsi="仿宋_GB2312" w:cs="仿宋_GB2312" w:eastAsia="仿宋_GB2312"/>
                      <w:sz w:val="24"/>
                    </w:rPr>
                    <w:t>≥100g/L</w:t>
                  </w:r>
                </w:p>
                <w:p>
                  <w:pPr>
                    <w:pStyle w:val="null3"/>
                    <w:jc w:val="center"/>
                  </w:pPr>
                  <w:r>
                    <w:rPr>
                      <w:rFonts w:ascii="仿宋_GB2312" w:hAnsi="仿宋_GB2312" w:cs="仿宋_GB2312" w:eastAsia="仿宋_GB2312"/>
                      <w:sz w:val="24"/>
                    </w:rPr>
                    <w:t>微量元素</w:t>
                  </w:r>
                  <w:r>
                    <w:rPr>
                      <w:rFonts w:ascii="仿宋_GB2312" w:hAnsi="仿宋_GB2312" w:cs="仿宋_GB2312" w:eastAsia="仿宋_GB2312"/>
                      <w:sz w:val="24"/>
                    </w:rPr>
                    <w:t>≥20g/L（不含氯）（水剂）（5kg/桶）</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NY1429-2010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平衡性复合肥</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硫酸钾型：氮磷钾</w:t>
                  </w:r>
                </w:p>
                <w:p>
                  <w:pPr>
                    <w:pStyle w:val="null3"/>
                    <w:jc w:val="center"/>
                  </w:pPr>
                  <w:r>
                    <w:rPr>
                      <w:rFonts w:ascii="仿宋_GB2312" w:hAnsi="仿宋_GB2312" w:cs="仿宋_GB2312" w:eastAsia="仿宋_GB2312"/>
                      <w:sz w:val="24"/>
                    </w:rPr>
                    <w:t>17-17-17（低氯或不含氯）（颗粒）</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GB/T15063-2020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13.75吨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棚膜</w:t>
                  </w:r>
                </w:p>
              </w:tc>
              <w:tc>
                <w:tcPr>
                  <w:tcW w:type="dxa" w:w="1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PO膜</w:t>
                  </w:r>
                  <w:r>
                    <w:rPr>
                      <w:rFonts w:ascii="仿宋_GB2312" w:hAnsi="仿宋_GB2312" w:cs="仿宋_GB2312" w:eastAsia="仿宋_GB2312"/>
                      <w:sz w:val="24"/>
                    </w:rPr>
                    <w:t>，厚度</w:t>
                  </w:r>
                  <w:r>
                    <w:rPr>
                      <w:rFonts w:ascii="仿宋_GB2312" w:hAnsi="仿宋_GB2312" w:cs="仿宋_GB2312" w:eastAsia="仿宋_GB2312"/>
                      <w:sz w:val="24"/>
                    </w:rPr>
                    <w:t>12丝</w:t>
                  </w:r>
                  <w:r>
                    <w:rPr>
                      <w:rFonts w:ascii="仿宋_GB2312" w:hAnsi="仿宋_GB2312" w:cs="仿宋_GB2312" w:eastAsia="仿宋_GB2312"/>
                      <w:sz w:val="24"/>
                    </w:rPr>
                    <w:t>，宽度</w:t>
                  </w:r>
                  <w:r>
                    <w:rPr>
                      <w:rFonts w:ascii="仿宋_GB2312" w:hAnsi="仿宋_GB2312" w:cs="仿宋_GB2312" w:eastAsia="仿宋_GB2312"/>
                      <w:sz w:val="24"/>
                    </w:rPr>
                    <w:t>12米，</w:t>
                  </w:r>
                  <w:r>
                    <w:rPr>
                      <w:rFonts w:ascii="仿宋_GB2312" w:hAnsi="仿宋_GB2312" w:cs="仿宋_GB2312" w:eastAsia="仿宋_GB2312"/>
                      <w:sz w:val="24"/>
                    </w:rPr>
                    <w:t>白色</w:t>
                  </w:r>
                </w:p>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GB/T4455-2019</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3200kg</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注：技术参数与性能指标为实质性响应内容，不得负偏离。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2026年5月底前。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2026年5月底前。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蓝田县前卫、安村、孟村等镇（具体由蓝田县农业技术推广中心指定）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蓝田县洩湖等9个镇（具体由蓝田县农业技术推广中心指定）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专项资金到位后，一次性付清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专项资金到位后，一次性付清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1.货物到达交货地点后，由使用单位根据合同对货物的名称、品牌、规格、型号、产地、数量进行检查，合格后签发《验收合格单》。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 3.3竞争性谈判文件； 3.4竞争性谈判响应文件； 3.5合同货物清单； 3.6生产厂家的企业资质等。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1.质保期为验收合格之日起不少于12个月。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领取成交通知书时提供一正两副纸质响应文件。纸质响应文件采用书籍（胶装）方式装订成册，与电子响应文件一致的签字、盖章的完整版本（正本为红章，副本不作要求）。2、根据《关于推动解决政府采购异常低价问题的通知》（财库〔2026〕2号）规定，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2.3投标（响应）报价低于采购项目最高限价45%的，即投标（响应）报价&lt;采购项目最高限价×45%； 2.4评审委员会基于专业判断，认为供应商报价过低，有可能影响产品质量或者不能诚信履约的其他情形。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2.3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人在领取成交通知书时提供一正两副纸质响应文件。纸质响应文件采用书籍（胶装）方式装订成册，与电子响应文件一致的签字、盖章的完整版本（正本为红章，副本不作要求）。2、根据《关于推动解决政府采购异常低价问题的通知》（财库〔2026〕2号）规定，出现下列情形之一的，评审委员会应当启动异常低价投标（响应）审查程序： 2.1投标（响应）报价低于全部通过符合性审查供应商投标（响应）报价平均值50%的，即投标（响应）报价&lt;全部通过符合性审查供应商投标（响应）报价平均值×50%； 2.2投标（响应）报价低于通过符合性审查的次低报价供应商投标（响应）报价50%的，即投标（响应）报价&lt;通过符合性审查的次低报价供应商投标（响应）报价×50%；2.3投标（响应）报价低于采购项目最高限价45%的，即投标（响应）报价&lt;采购项目最高限价×45%； 2.4评审委员会基于专业判断，认为供应商报价过低，有可能影响产品质量或者不能诚信履约的其他情形。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2.3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税收缴纳证明：提供2025年4月至今任意一个月的缴纳凭据（增值税、企业所得税至少一种）；（依法免税的供应商应提供相关文件证明）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提供生产厂家有效期内的肥料登记证或农业农村部登记备案证明</w:t>
            </w:r>
          </w:p>
        </w:tc>
        <w:tc>
          <w:tcPr>
            <w:tcW w:type="dxa" w:w="3322"/>
          </w:tcPr>
          <w:p>
            <w:pPr>
              <w:pStyle w:val="null3"/>
            </w:pPr>
            <w:r>
              <w:rPr>
                <w:rFonts w:ascii="仿宋_GB2312" w:hAnsi="仿宋_GB2312" w:cs="仿宋_GB2312" w:eastAsia="仿宋_GB2312"/>
              </w:rPr>
              <w:t>提供生产厂家有效期内的肥料登记证或农业农村部登记备案证明；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税收缴纳证明：提供2025年4月至今任意一个月的缴纳凭据（增值税、企业所得税至少一种）；（依法免税的供应商应提供相关文件证明）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谈判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被授权人承诺书.docx 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提供生产厂家有效期内的肥料登记证或农业农村部登记备案证明</w:t>
            </w:r>
          </w:p>
        </w:tc>
        <w:tc>
          <w:tcPr>
            <w:tcW w:type="dxa" w:w="3322"/>
          </w:tcPr>
          <w:p>
            <w:pPr>
              <w:pStyle w:val="null3"/>
            </w:pPr>
            <w:r>
              <w:rPr>
                <w:rFonts w:ascii="仿宋_GB2312" w:hAnsi="仿宋_GB2312" w:cs="仿宋_GB2312" w:eastAsia="仿宋_GB2312"/>
              </w:rPr>
              <w:t>提供生产厂家有效期内的肥料登记证或农业农村部登记备案证明；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人在谈判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谈判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授权委托书.docx 中小企业声明函 分项报价.docx 商务条款响应偏离表.docx 技术规格响应偏离表.docx 响应文件封面 拒绝政府采购领域商业贿赂承诺书.docx 残疾人福利性单位声明函 供应商参与政府采购活动的承诺函.docx 产品的合法渠道证明文件.docx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合法来源渠道证明文件、功能证明材料</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按照谈判文件要求提供所投产品的合法来源渠道证明文件（包括但不限于原厂授权、代理协议、销售协议等）；生产厂家确认的、相应的功能证明材料（包括但不限于检测报告等）</w:t>
            </w:r>
          </w:p>
        </w:tc>
        <w:tc>
          <w:tcPr>
            <w:tcW w:type="dxa" w:w="1661"/>
          </w:tcPr>
          <w:p>
            <w:pPr>
              <w:pStyle w:val="null3"/>
            </w:pPr>
            <w:r>
              <w:rPr>
                <w:rFonts w:ascii="仿宋_GB2312" w:hAnsi="仿宋_GB2312" w:cs="仿宋_GB2312" w:eastAsia="仿宋_GB2312"/>
              </w:rPr>
              <w:t>产品的合法渠道证明文件.docx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被授权人承诺书.docx 授权委托书.docx 中小企业声明函 分项报价.docx 商务条款响应偏离表.docx 响应文件封面 技术规格响应偏离表.docx 拒绝政府采购领域商业贿赂承诺书.docx 残疾人福利性单位声明函 供应商参与政府采购活动的承诺函.docx 产品的合法渠道证明文件.docx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对谈判文件商务要求、技术要求作出明确响应</w:t>
            </w:r>
          </w:p>
        </w:tc>
        <w:tc>
          <w:tcPr>
            <w:tcW w:type="dxa" w:w="3322"/>
          </w:tcPr>
          <w:p>
            <w:pPr>
              <w:pStyle w:val="null3"/>
            </w:pPr>
            <w:r>
              <w:rPr>
                <w:rFonts w:ascii="仿宋_GB2312" w:hAnsi="仿宋_GB2312" w:cs="仿宋_GB2312" w:eastAsia="仿宋_GB2312"/>
              </w:rPr>
              <w:t>对谈判文件商务要求作出明确响应；对谈判文件技术要求作出明确响应，对不得偏离的要求作了实质性响应</w:t>
            </w:r>
          </w:p>
        </w:tc>
        <w:tc>
          <w:tcPr>
            <w:tcW w:type="dxa" w:w="1661"/>
          </w:tcPr>
          <w:p>
            <w:pPr>
              <w:pStyle w:val="null3"/>
            </w:pPr>
            <w:r>
              <w:rPr>
                <w:rFonts w:ascii="仿宋_GB2312" w:hAnsi="仿宋_GB2312" w:cs="仿宋_GB2312" w:eastAsia="仿宋_GB2312"/>
              </w:rPr>
              <w:t>技术规格响应偏离表.docx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谈判响应文件未有采购人不能接受的附加条件</w:t>
            </w:r>
          </w:p>
        </w:tc>
        <w:tc>
          <w:tcPr>
            <w:tcW w:type="dxa" w:w="3322"/>
          </w:tcPr>
          <w:p>
            <w:pPr>
              <w:pStyle w:val="null3"/>
            </w:pPr>
            <w:r>
              <w:rPr>
                <w:rFonts w:ascii="仿宋_GB2312" w:hAnsi="仿宋_GB2312" w:cs="仿宋_GB2312" w:eastAsia="仿宋_GB2312"/>
              </w:rPr>
              <w:t>谈判响应文件未有采购人不能接受的附加条件</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合法来源渠道证明文件、功能证明材料</w:t>
            </w:r>
          </w:p>
        </w:tc>
        <w:tc>
          <w:tcPr>
            <w:tcW w:type="dxa" w:w="3322"/>
          </w:tcPr>
          <w:p>
            <w:pPr>
              <w:pStyle w:val="null3"/>
            </w:pPr>
            <w:r>
              <w:rPr>
                <w:rFonts w:ascii="仿宋_GB2312" w:hAnsi="仿宋_GB2312" w:cs="仿宋_GB2312" w:eastAsia="仿宋_GB2312"/>
              </w:rPr>
              <w:t>按照谈判文件要求提供所投产品的合法来源渠道证明文件（包括但不限于原厂授权、代理协议、销售协议等）；生产厂家确认的、相应的功能证明材料（包括但不限于检测报告等）</w:t>
            </w:r>
          </w:p>
        </w:tc>
        <w:tc>
          <w:tcPr>
            <w:tcW w:type="dxa" w:w="1661"/>
          </w:tcPr>
          <w:p>
            <w:pPr>
              <w:pStyle w:val="null3"/>
            </w:pPr>
            <w:r>
              <w:rPr>
                <w:rFonts w:ascii="仿宋_GB2312" w:hAnsi="仿宋_GB2312" w:cs="仿宋_GB2312" w:eastAsia="仿宋_GB2312"/>
              </w:rPr>
              <w:t>产品的合法渠道证明文件.docx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若同一单位同时参与多个包，则谈判小组按照采购包顺序依次评审，在其中一包被推荐为第一成交候选人，则该单位在后续的包号评审中不再推荐为第一成交候选人，并顺延下一名为第一成交候选人。</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若同一单位同时参与多个包，则谈判小组按照采购包顺序依次评审，在其中一包被推荐为第一成交候选人，则该单位在后续的包号评审中不再推荐为第一成交候选人，并顺延下一名为第一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