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版本号：240723002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周至县熨斗河下游段水毁修复工程</w:t>
      </w:r>
    </w:p>
    <w:p>
      <w:pPr>
        <w:pStyle w:val="null3"/>
        <w:jc w:val="center"/>
        <w:outlineLvl w:val="2"/>
      </w:pPr>
      <w:r>
        <w:rPr>
          <w:sz w:val="28"/>
          <w:b/>
        </w:rPr>
        <w:t>采购项目编号：</w:t>
      </w:r>
      <w:r>
        <w:rPr>
          <w:sz w:val="28"/>
          <w:b/>
        </w:rPr>
        <w:t>ZZGJ-ZFCG2024XA055</w:t>
      </w:r>
      <w:r>
        <w:br/>
      </w:r>
      <w:r>
        <w:br/>
      </w:r>
      <w:r>
        <w:br/>
      </w:r>
    </w:p>
    <w:p>
      <w:pPr>
        <w:pStyle w:val="null3"/>
        <w:jc w:val="center"/>
        <w:outlineLvl w:val="2"/>
      </w:pPr>
      <w:r>
        <w:rPr>
          <w:sz w:val="28"/>
          <w:b/>
        </w:rPr>
        <w:t>西安市周至县四小河流管理站</w:t>
      </w:r>
    </w:p>
    <w:p>
      <w:pPr>
        <w:pStyle w:val="null3"/>
        <w:jc w:val="center"/>
        <w:outlineLvl w:val="2"/>
      </w:pPr>
      <w:r>
        <w:rPr>
          <w:sz w:val="28"/>
          <w:b/>
        </w:rPr>
        <w:t>中洲国际项目管理（西安）集团有限公司</w:t>
      </w:r>
      <w:r>
        <w:rPr>
          <w:sz w:val="28"/>
          <w:b/>
        </w:rPr>
        <w:t>共同编制</w:t>
      </w:r>
    </w:p>
    <w:p>
      <w:pPr>
        <w:pStyle w:val="null3"/>
        <w:jc w:val="center"/>
        <w:outlineLvl w:val="2"/>
      </w:pPr>
      <w:r>
        <w:rPr>
          <w:sz w:val="28"/>
          <w:b/>
        </w:rPr>
        <w:t>2024年07月23日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中洲国际项目管理（西安）集团有限公司</w:t>
      </w:r>
      <w:r>
        <w:rPr/>
        <w:t>（以下简称“代理机构”）受</w:t>
      </w:r>
      <w:r>
        <w:rPr/>
        <w:t>西安市周至县四小河流管理站</w:t>
      </w:r>
      <w:r>
        <w:rPr/>
        <w:t>委托，拟对</w:t>
      </w:r>
      <w:r>
        <w:rPr/>
        <w:t>周至县熨斗河下游段水毁修复工程</w:t>
      </w:r>
      <w:r>
        <w:rPr/>
        <w:t>采用竞争性磋商采购方式进行采购，兹邀请供应商参加本项目的竞争性磋商。</w:t>
      </w:r>
    </w:p>
    <w:p>
      <w:pPr>
        <w:pStyle w:val="null3"/>
        <w:outlineLvl w:val="2"/>
      </w:pPr>
      <w:r>
        <w:rPr>
          <w:sz w:val="28"/>
          <w:b/>
        </w:rPr>
        <w:t>一、采购项目编号：</w:t>
      </w:r>
      <w:r>
        <w:rPr>
          <w:sz w:val="28"/>
          <w:b/>
        </w:rPr>
        <w:t>ZZGJ-ZFCG2024XA055</w:t>
      </w:r>
    </w:p>
    <w:p>
      <w:pPr>
        <w:pStyle w:val="null3"/>
        <w:outlineLvl w:val="2"/>
      </w:pPr>
      <w:r>
        <w:rPr>
          <w:sz w:val="28"/>
          <w:b/>
        </w:rPr>
        <w:t>二、采购项目名称：</w:t>
      </w:r>
      <w:r>
        <w:rPr>
          <w:sz w:val="28"/>
          <w:b/>
        </w:rPr>
        <w:t>周至县熨斗河下游段水毁修复工程</w:t>
      </w:r>
    </w:p>
    <w:p>
      <w:pPr>
        <w:pStyle w:val="null3"/>
        <w:outlineLvl w:val="2"/>
      </w:pPr>
      <w:r>
        <w:rPr>
          <w:sz w:val="28"/>
          <w:b/>
        </w:rPr>
        <w:t>三、磋商项目简介</w:t>
      </w:r>
    </w:p>
    <w:p>
      <w:pPr>
        <w:pStyle w:val="null3"/>
        <w:ind w:firstLine="480"/>
      </w:pPr>
      <w:r>
        <w:rPr/>
        <w:t>修复治理河道长419m, 新建护岸743.5m 。其中左岸417.5m, 右岸326m。</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1、营业执照：提供有效的营业执照/事业单位法人证书/非企业专业服务机构执业许可证/民办非企业单位登记证书复印件加盖公章/自然人身份证；</w:t>
      </w:r>
    </w:p>
    <w:p>
      <w:pPr>
        <w:pStyle w:val="null3"/>
      </w:pPr>
      <w:r>
        <w:rPr/>
        <w:t>2、财务状况报告：提供2023年度经审计的财务审计报告或开标前三个月其基本存款账户开户银行出具的资信证明及基本存款账户开户信息；</w:t>
      </w:r>
    </w:p>
    <w:p>
      <w:pPr>
        <w:pStyle w:val="null3"/>
      </w:pPr>
      <w:r>
        <w:rPr/>
        <w:t>3、税收、社保：具有依法缴纳税收和社保的良好记录（提供截止至开标时间前6个月任一月份的缴费凭据）；依法免税的单位应提供相关证明材料，依法不需要缴纳社会保障资金的单位应提供相关证明材料。</w:t>
      </w:r>
    </w:p>
    <w:p>
      <w:pPr>
        <w:pStyle w:val="null3"/>
      </w:pPr>
      <w:r>
        <w:rPr/>
        <w:t>4、具有履行本合同所必需的设备和专业技术能力的说明或承诺：提供具有履行本合同所必需的设备和专业技术能力的说明或承诺;</w:t>
      </w:r>
    </w:p>
    <w:p>
      <w:pPr>
        <w:pStyle w:val="null3"/>
      </w:pPr>
      <w:r>
        <w:rPr/>
        <w:t>5、无重大违法记录的书面声明：提供参加政府采购活动前三年内在经营活动中无重大违法记录的书面声明;</w:t>
      </w:r>
    </w:p>
    <w:p>
      <w:pPr>
        <w:pStyle w:val="null3"/>
      </w:pPr>
      <w:r>
        <w:rPr/>
        <w:t>6、企业资质要求：供应商须同时具备有效的有建设行政主管部门颁发的水利水电工程施工总承包三级或以上资质、企业安全生产许可证；</w:t>
      </w:r>
    </w:p>
    <w:p>
      <w:pPr>
        <w:pStyle w:val="null3"/>
      </w:pPr>
      <w:r>
        <w:rPr/>
        <w:t>7、项目经理资质：供应商拟派项目负责人须具备有效的水利水电专业二级或以上建造师注册证书及水行政主管部门颁发的安全生产考核合格证（B证），且无在建工程并提供承诺书；</w:t>
      </w:r>
    </w:p>
    <w:p>
      <w:pPr>
        <w:pStyle w:val="null3"/>
      </w:pPr>
      <w:r>
        <w:rPr/>
        <w:t>8、平台备案：水利水电工程施工总承包企业信息需在“陕西省水利建设市场主体信用信息管理平台”登记备案；</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西安市周至县四小河流管理站</w:t>
      </w:r>
    </w:p>
    <w:p>
      <w:pPr>
        <w:pStyle w:val="null3"/>
      </w:pPr>
      <w:r>
        <w:rPr/>
        <w:t xml:space="preserve"> 地址： </w:t>
      </w:r>
      <w:r>
        <w:rPr/>
        <w:t>周至县老城西街98号</w:t>
      </w:r>
    </w:p>
    <w:p>
      <w:pPr>
        <w:pStyle w:val="null3"/>
      </w:pPr>
      <w:r>
        <w:rPr/>
        <w:t xml:space="preserve"> 邮编： </w:t>
      </w:r>
      <w:r>
        <w:rPr/>
        <w:t>710400</w:t>
      </w:r>
    </w:p>
    <w:p>
      <w:pPr>
        <w:pStyle w:val="null3"/>
      </w:pPr>
      <w:r>
        <w:rPr/>
        <w:t xml:space="preserve"> 联系人： </w:t>
      </w:r>
      <w:r>
        <w:rPr/>
        <w:t>王老师</w:t>
      </w:r>
    </w:p>
    <w:p>
      <w:pPr>
        <w:pStyle w:val="null3"/>
      </w:pPr>
      <w:r>
        <w:rPr/>
        <w:t xml:space="preserve"> 联系电话： </w:t>
      </w:r>
      <w:r>
        <w:rPr/>
        <w:t>02987112826</w:t>
      </w:r>
    </w:p>
    <w:p>
      <w:pPr>
        <w:pStyle w:val="null3"/>
        <w:outlineLvl w:val="3"/>
      </w:pPr>
      <w:r>
        <w:rPr>
          <w:sz w:val="24"/>
          <w:b/>
        </w:rPr>
        <w:t>代理机构：</w:t>
      </w:r>
      <w:r>
        <w:rPr>
          <w:sz w:val="24"/>
          <w:b/>
        </w:rPr>
        <w:t>中洲国际项目管理（西安）集团有限公司</w:t>
      </w:r>
    </w:p>
    <w:p>
      <w:pPr>
        <w:pStyle w:val="null3"/>
      </w:pPr>
      <w:r>
        <w:rPr/>
        <w:t xml:space="preserve"> 地址： </w:t>
      </w:r>
      <w:r>
        <w:rPr/>
        <w:t>西安市曲江新区金辉环球中心</w:t>
      </w:r>
    </w:p>
    <w:p>
      <w:pPr>
        <w:pStyle w:val="null3"/>
      </w:pPr>
      <w:r>
        <w:rPr/>
        <w:t xml:space="preserve"> 邮编： </w:t>
      </w:r>
      <w:r>
        <w:rPr/>
        <w:t>710000</w:t>
      </w:r>
    </w:p>
    <w:p>
      <w:pPr>
        <w:pStyle w:val="null3"/>
      </w:pPr>
      <w:r>
        <w:rPr/>
        <w:t xml:space="preserve"> 联系人： </w:t>
      </w:r>
      <w:r>
        <w:rPr/>
        <w:t>魏工</w:t>
      </w:r>
    </w:p>
    <w:p>
      <w:pPr>
        <w:pStyle w:val="null3"/>
      </w:pPr>
      <w:r>
        <w:rPr/>
        <w:t xml:space="preserve"> 联系电话： </w:t>
      </w:r>
      <w:r>
        <w:rPr/>
        <w:t>029-89667151</w:t>
      </w:r>
    </w:p>
    <w:p>
      <w:pPr>
        <w:pStyle w:val="null3"/>
        <w:outlineLvl w:val="3"/>
      </w:pPr>
      <w:r>
        <w:rPr>
          <w:sz w:val="24"/>
          <w:b/>
        </w:rPr>
        <w:t>采购监督机构：</w:t>
      </w:r>
      <w:r>
        <w:rPr>
          <w:sz w:val="24"/>
          <w:b/>
        </w:rPr>
        <w:t>周至县政府采购管理股</w:t>
      </w:r>
    </w:p>
    <w:p>
      <w:pPr>
        <w:pStyle w:val="null3"/>
        <w:ind w:firstLine="480"/>
      </w:pPr>
      <w:r>
        <w:rPr/>
        <w:t>联系人：</w:t>
      </w:r>
      <w:r>
        <w:rPr/>
        <w:t>张旭霞</w:t>
      </w:r>
    </w:p>
    <w:p>
      <w:pPr>
        <w:pStyle w:val="null3"/>
        <w:ind w:firstLine="480"/>
      </w:pPr>
      <w:r>
        <w:rPr/>
        <w:t>联系电话：</w:t>
      </w:r>
      <w:r>
        <w:rPr/>
        <w:t>87113948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采购包1：1,596,400.00元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代理服务费收费标准：1.成交人应依据成交金额向招标代理机构交纳招标代理服务费。 2.成交代理服务费：参照国家计委颁发的《招标代理服务收费管理暂行办法》（计价格[2002]1980号）和国家发展改革委员会办公厅颁发的《关于招标代理服务收费有关问题的通知》（发改办价格[2003]857号）的有关规定按标准执行。 3.成交人在领取成交通知书同时，向招标代理机构一次性缴付招标代理服务费。 4. 招标代理服务费以银行转账、电汇等（对公）形式缴纳。</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西安市周至县四小河流管理站</w:t>
      </w:r>
      <w:r>
        <w:rPr/>
        <w:t>和</w:t>
      </w:r>
      <w:r>
        <w:rPr/>
        <w:t>中洲国际项目管理（西安）集团有限公司</w:t>
      </w:r>
      <w:r>
        <w:rPr/>
        <w:t>享有。对磋商文件中供应商参加本次政府采购活动应当具备的条件，磋商项目技术、服务、商务及其他要求，评审细则及标准由</w:t>
      </w:r>
      <w:r>
        <w:rPr/>
        <w:t>西安市周至县四小河流管理站</w:t>
      </w:r>
      <w:r>
        <w:rPr/>
        <w:t>负责解释。除上述磋商文件内容，其他内容由</w:t>
      </w:r>
      <w:r>
        <w:rPr/>
        <w:t>中洲国际项目管理（西安）集团有限公司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西安市周至县四小河流管理站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中洲国际项目管理（西安）集团有限公司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达到国家现行施工验收规范“合格”标准。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中洲国际项目管理（西安）集团有限公司</w:t>
      </w:r>
      <w:r>
        <w:rPr/>
        <w:t xml:space="preserve"> 负责答复；供应商对采购过程的询问、质疑由</w:t>
      </w:r>
      <w:r>
        <w:rPr/>
        <w:t>西安市周至县四小河流管理站</w:t>
      </w:r>
      <w:r>
        <w:rPr/>
        <w:t xml:space="preserve"> 负责答复；供应商对采购结果的询问、质疑由 </w:t>
      </w:r>
      <w:r>
        <w:rPr/>
        <w:t>西安市周至县四小河流管理站</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答复主体：采购单位</w:t>
      </w:r>
    </w:p>
    <w:p>
      <w:pPr>
        <w:pStyle w:val="null3"/>
      </w:pPr>
      <w:r>
        <w:rPr/>
        <w:t>联系人：王老师</w:t>
      </w:r>
    </w:p>
    <w:p>
      <w:pPr>
        <w:pStyle w:val="null3"/>
      </w:pPr>
      <w:r>
        <w:rPr/>
        <w:t>联系电话：02987112826</w:t>
      </w:r>
    </w:p>
    <w:p>
      <w:pPr>
        <w:pStyle w:val="null3"/>
      </w:pPr>
      <w:r>
        <w:rPr/>
        <w:t>地址：周至县老城西街98号</w:t>
      </w:r>
    </w:p>
    <w:p>
      <w:pPr>
        <w:pStyle w:val="null3"/>
      </w:pPr>
      <w:r>
        <w:rPr/>
        <w:t>邮编：710400</w:t>
      </w:r>
    </w:p>
    <w:p>
      <w:pPr>
        <w:pStyle w:val="null3"/>
      </w:pPr>
      <w:r>
        <w:rPr/>
        <w:t>答复主体：代理机构</w:t>
      </w:r>
    </w:p>
    <w:p>
      <w:pPr>
        <w:pStyle w:val="null3"/>
      </w:pPr>
      <w:r>
        <w:rPr/>
        <w:t>联系人：魏工</w:t>
      </w:r>
    </w:p>
    <w:p>
      <w:pPr>
        <w:pStyle w:val="null3"/>
      </w:pPr>
      <w:r>
        <w:rPr/>
        <w:t>联系电话：02989667151</w:t>
      </w:r>
    </w:p>
    <w:p>
      <w:pPr>
        <w:pStyle w:val="null3"/>
      </w:pPr>
      <w:r>
        <w:rPr/>
        <w:t>地址：西安市曲江新区金辉环球中心</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1,596,400.00</w:t>
      </w:r>
    </w:p>
    <w:p>
      <w:pPr>
        <w:pStyle w:val="null3"/>
      </w:pPr>
      <w:r>
        <w:rPr/>
        <w:t>采购包最高限价（元）: 1,400,600.00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周至县熨斗河下游段水毁修复工程</w:t>
            </w:r>
          </w:p>
        </w:tc>
        <w:tc>
          <w:tcPr>
            <w:tcW w:type="dxa" w:w="1384"/>
          </w:tcPr>
          <w:p>
            <w:pPr>
              <w:pStyle w:val="null3"/>
              <w:jc w:val="right"/>
            </w:pPr>
            <w:r>
              <w:rPr/>
              <w:t>1.00</w:t>
            </w:r>
          </w:p>
        </w:tc>
        <w:tc>
          <w:tcPr>
            <w:tcW w:type="dxa" w:w="1384"/>
          </w:tcPr>
          <w:p>
            <w:pPr>
              <w:pStyle w:val="null3"/>
              <w:jc w:val="right"/>
            </w:pPr>
            <w:r>
              <w:rPr/>
              <w:t>1,596,400.00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标的名称：周至县熨斗河下游段水毁修复工程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32"/>
                <w:color w:val="000000"/>
              </w:rPr>
              <w:t>工程量清单</w:t>
            </w:r>
          </w:p>
          <w:tbl>
            <w:tblPr>
              <w:tblInd w:type="dxa" w:w="135"/>
              <w:tblBorders>
                <w:top w:val="none" w:color="000000" w:sz="4"/>
                <w:left w:val="none" w:color="000000" w:sz="4"/>
                <w:bottom w:val="none" w:color="000000" w:sz="4"/>
                <w:right w:val="none" w:color="000000" w:sz="4"/>
                <w:insideH w:val="none"/>
                <w:insideV w:val="none"/>
              </w:tblBorders>
            </w:tblPr>
            <w:tblGrid>
              <w:gridCol w:w="769"/>
              <w:gridCol w:w="263"/>
              <w:gridCol w:w="769"/>
              <w:gridCol w:w="272"/>
              <w:gridCol w:w="480"/>
            </w:tblGrid>
            <w:tr>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序号</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单价</w:t>
                  </w:r>
                  <w:r>
                    <w:br/>
                  </w:r>
                  <w:r>
                    <w:rPr>
                      <w:rFonts w:ascii="宋体" w:hAnsi="宋体" w:cs="宋体" w:eastAsia="宋体"/>
                      <w:sz w:val="21"/>
                      <w:color w:val="000000"/>
                    </w:rPr>
                    <w:t>表号</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项目名称</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计量</w:t>
                  </w:r>
                  <w:r>
                    <w:br/>
                  </w:r>
                  <w:r>
                    <w:rPr>
                      <w:rFonts w:ascii="宋体" w:hAnsi="宋体" w:cs="宋体" w:eastAsia="宋体"/>
                      <w:sz w:val="21"/>
                      <w:color w:val="000000"/>
                    </w:rPr>
                    <w:t>单位</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工程量或</w:t>
                  </w:r>
                  <w:r>
                    <w:br/>
                  </w:r>
                  <w:r>
                    <w:rPr>
                      <w:rFonts w:ascii="宋体" w:hAnsi="宋体" w:cs="宋体" w:eastAsia="宋体"/>
                      <w:sz w:val="21"/>
                      <w:color w:val="000000"/>
                    </w:rPr>
                    <w:t>设计参数</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左岸</w:t>
                  </w:r>
                  <w:r>
                    <w:rPr>
                      <w:rFonts w:ascii="宋体" w:hAnsi="宋体" w:cs="宋体" w:eastAsia="宋体"/>
                      <w:sz w:val="21"/>
                      <w:color w:val="000000"/>
                    </w:rPr>
                    <w:t>(护岸长417.5m)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砂砾石开挖</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m³</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2102.4</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4</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砂砾石回填（自然回填）</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m³</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384.06</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5</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砂砾石回填（压实度</w:t>
                  </w:r>
                  <w:r>
                    <w:rPr>
                      <w:rFonts w:ascii="宋体" w:hAnsi="宋体" w:cs="宋体" w:eastAsia="宋体"/>
                      <w:sz w:val="21"/>
                      <w:color w:val="000000"/>
                    </w:rPr>
                    <w:t>0.6）</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m³</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896.14</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6</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C20埋石砼基础(埋石率20%）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m³</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378.2</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7</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C20埋石砼挡墙(埋石率20%）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m³</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369.2</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8</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普通平面钢模板</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2271.9</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9</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聚乙烯泡沫板填伸缩缝</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152.1</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10</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φ50-UPVC排水管</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m</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183</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反滤包</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个</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260</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余土堆至两岸</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m³</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822.2</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右岸</w:t>
                  </w:r>
                  <w:r>
                    <w:rPr>
                      <w:rFonts w:ascii="宋体" w:hAnsi="宋体" w:cs="宋体" w:eastAsia="宋体"/>
                      <w:sz w:val="21"/>
                      <w:color w:val="000000"/>
                    </w:rPr>
                    <w:t>(护岸长326m)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砂砾石开挖</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m³</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1913.</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4</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砂砾石回填（自然回填）</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m³</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348.75</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5</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砂砾石回填（压实度</w:t>
                  </w:r>
                  <w:r>
                    <w:rPr>
                      <w:rFonts w:ascii="宋体" w:hAnsi="宋体" w:cs="宋体" w:eastAsia="宋体"/>
                      <w:sz w:val="21"/>
                      <w:color w:val="000000"/>
                    </w:rPr>
                    <w:t>0.6）</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m³</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813.75</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6</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C20埋石砼基础(埋石率20%）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m³</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304.58</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7</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C20埋石砼挡墙(埋石率20%）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m³</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284.64</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8</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普通平面钢模板</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1840.6</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9</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聚乙烯泡沫板填伸缩缝</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118</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10</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φ50-UPVC排水管</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m</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136</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反滤包</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个</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210</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余土堆至两岸</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m³</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750.5</w:t>
                  </w:r>
                </w:p>
              </w:tc>
            </w:tr>
            <w:tr>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rFonts w:ascii="宋体" w:hAnsi="宋体" w:cs="宋体" w:eastAsia="宋体"/>
                <w:sz w:val="32"/>
                <w:color w:val="000000"/>
              </w:rPr>
              <w:t>临时工程</w:t>
            </w:r>
          </w:p>
          <w:tbl>
            <w:tblPr>
              <w:tblInd w:type="dxa" w:w="90"/>
              <w:tblBorders>
                <w:top w:val="none" w:color="000000" w:sz="4"/>
                <w:left w:val="none" w:color="000000" w:sz="4"/>
                <w:bottom w:val="none" w:color="000000" w:sz="4"/>
                <w:right w:val="none" w:color="000000" w:sz="4"/>
                <w:insideH w:val="none"/>
                <w:insideV w:val="none"/>
              </w:tblBorders>
            </w:tblPr>
            <w:tblGrid>
              <w:gridCol w:w="373"/>
              <w:gridCol w:w="299"/>
              <w:gridCol w:w="1036"/>
              <w:gridCol w:w="331"/>
              <w:gridCol w:w="511"/>
            </w:tblGrid>
            <w:tr>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序号</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单价</w:t>
                  </w:r>
                  <w:r>
                    <w:br/>
                  </w:r>
                  <w:r>
                    <w:rPr>
                      <w:rFonts w:ascii="宋体" w:hAnsi="宋体" w:cs="宋体" w:eastAsia="宋体"/>
                      <w:sz w:val="21"/>
                      <w:color w:val="000000"/>
                    </w:rPr>
                    <w:t>表号</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项目名称</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计量</w:t>
                  </w:r>
                  <w:r>
                    <w:br/>
                  </w:r>
                  <w:r>
                    <w:rPr>
                      <w:rFonts w:ascii="宋体" w:hAnsi="宋体" w:cs="宋体" w:eastAsia="宋体"/>
                      <w:sz w:val="21"/>
                      <w:color w:val="000000"/>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工程量或</w:t>
                  </w:r>
                  <w:r>
                    <w:br/>
                  </w:r>
                  <w:r>
                    <w:rPr>
                      <w:rFonts w:ascii="宋体" w:hAnsi="宋体" w:cs="宋体" w:eastAsia="宋体"/>
                      <w:sz w:val="21"/>
                      <w:color w:val="000000"/>
                    </w:rPr>
                    <w:t>设计参数</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施工临时道路</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km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0.8</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治污减霾费</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0.6</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其他施工临时工程</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3</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tc>
        <w:tc>
          <w:tcPr>
            <w:tcW w:type="dxa" w:w="2769"/>
          </w:tcPr>
          <w:p>
            <w:pPr>
              <w:pStyle w:val="null3"/>
            </w:pPr>
            <w:r>
              <w:rPr/>
              <w:t>2</w:t>
            </w:r>
          </w:p>
        </w:tc>
        <w:tc>
          <w:tcPr>
            <w:tcW w:type="dxa" w:w="2769"/>
          </w:tcPr>
          <w:p>
            <w:pPr>
              <w:pStyle w:val="null3"/>
              <w:ind w:firstLine="480"/>
            </w:pPr>
            <w:r>
              <w:rPr>
                <w:rFonts w:ascii="simsun" w:hAnsi="simsun" w:cs="simsun" w:eastAsia="simsun"/>
                <w:sz w:val="21"/>
                <w:b/>
              </w:rPr>
              <w:t>1、</w:t>
            </w:r>
            <w:r>
              <w:rPr>
                <w:rFonts w:ascii="simsun" w:hAnsi="simsun" w:cs="simsun" w:eastAsia="simsun"/>
                <w:sz w:val="21"/>
                <w:b/>
              </w:rPr>
              <w:t>本项目工程保险费为0.59万元，预备费（暂列金）为7.6万元，两笔费用为不可竞争费用，请各投标人在报价时予以考虑。</w:t>
            </w:r>
          </w:p>
          <w:p>
            <w:pPr>
              <w:pStyle w:val="null3"/>
              <w:ind w:firstLine="480"/>
            </w:pPr>
            <w:r>
              <w:rPr>
                <w:rFonts w:ascii="simsun" w:hAnsi="simsun" w:cs="simsun" w:eastAsia="simsun"/>
                <w:sz w:val="21"/>
                <w:b/>
              </w:rPr>
              <w:t>2、磋商报价应是采购范围内全部工作内容的价格体现，后期不做任何调整；磋商报价包括但不限于直接费用、间接费用、保险、税金、利润、风险费用、后续服务费用、招标代理服务费等一切相关费用。</w:t>
            </w:r>
          </w:p>
          <w:p>
            <w:pPr>
              <w:pStyle w:val="null3"/>
              <w:jc w:val="both"/>
            </w:pPr>
            <w:r>
              <w:rPr>
                <w:rFonts w:ascii="simsun" w:hAnsi="simsun" w:cs="simsun" w:eastAsia="simsun"/>
                <w:sz w:val="21"/>
                <w:b/>
              </w:rPr>
              <w:t xml:space="preserve">  3、磋商报价表中标明本次工程的所有单项价格和总价，任何有选择的报价将不予接受，否则按无效磋商处理。</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达到国家现行施工验收规范“合格”标准。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施工服务方案 项目管理机构组成表 残疾人福利性单位声明函 报价函 供应商认为需提供的其他材料 标的清单 供应商类似项目业绩一览表 响应函 主要人员简历表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提供2023年度经审计的财务审计报告或开标前三个月其基本存款账户开户银行出具的资信证明及基本存款账户开户信息；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提供有效的营业执照/事业单位法人证书/非企业专业服务机构执业许可证/民办非企业单位登记证书复印件加盖公章/自然人身份证；</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提供2023年度经审计的财务审计报告或开标前三个月其基本存款账户开户银行出具的资信证明及基本存款账户开户信息；</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税收、社保</w:t>
            </w:r>
          </w:p>
        </w:tc>
        <w:tc>
          <w:tcPr>
            <w:tcW w:type="dxa" w:w="3322"/>
          </w:tcPr>
          <w:p>
            <w:pPr>
              <w:pStyle w:val="null3"/>
            </w:pPr>
            <w:r>
              <w:rPr/>
              <w:t>具有依法缴纳税收和社保的良好记录（提供截止至开标时间前6个月任一月份的缴费凭据）；依法免税的单位应提供相关证明材料，依法不需要缴纳社会保障资金的单位应提供相关证明材料。</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具有履行本合同所必需的设备和专业技术能力的说明或承诺</w:t>
            </w:r>
          </w:p>
        </w:tc>
        <w:tc>
          <w:tcPr>
            <w:tcW w:type="dxa" w:w="3322"/>
          </w:tcPr>
          <w:p>
            <w:pPr>
              <w:pStyle w:val="null3"/>
            </w:pPr>
            <w:r>
              <w:rPr/>
              <w:t>提供具有履行本合同所必需的设备和专业技术能力的说明或承诺;</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5</w:t>
            </w:r>
          </w:p>
        </w:tc>
        <w:tc>
          <w:tcPr>
            <w:tcW w:type="dxa" w:w="2492"/>
          </w:tcPr>
          <w:p>
            <w:pPr>
              <w:pStyle w:val="null3"/>
            </w:pPr>
            <w:r>
              <w:rPr/>
              <w:t>无重大违法记录的书面声明</w:t>
            </w:r>
          </w:p>
        </w:tc>
        <w:tc>
          <w:tcPr>
            <w:tcW w:type="dxa" w:w="3322"/>
          </w:tcPr>
          <w:p>
            <w:pPr>
              <w:pStyle w:val="null3"/>
            </w:pPr>
            <w:r>
              <w:rPr/>
              <w:t>提供参加政府采购活动前三年内在经营活动中无重大违法记录的书面声明;</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6</w:t>
            </w:r>
          </w:p>
        </w:tc>
        <w:tc>
          <w:tcPr>
            <w:tcW w:type="dxa" w:w="2492"/>
          </w:tcPr>
          <w:p>
            <w:pPr>
              <w:pStyle w:val="null3"/>
            </w:pPr>
            <w:r>
              <w:rPr/>
              <w:t>企业资质要求</w:t>
            </w:r>
          </w:p>
        </w:tc>
        <w:tc>
          <w:tcPr>
            <w:tcW w:type="dxa" w:w="3322"/>
          </w:tcPr>
          <w:p>
            <w:pPr>
              <w:pStyle w:val="null3"/>
            </w:pPr>
            <w:r>
              <w:rPr/>
              <w:t>供应商须同时具备有效的有建设行政主管部门颁发的水利水电工程施工总承包三级或以上资质、企业安全生产许可证；</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7</w:t>
            </w:r>
          </w:p>
        </w:tc>
        <w:tc>
          <w:tcPr>
            <w:tcW w:type="dxa" w:w="2492"/>
          </w:tcPr>
          <w:p>
            <w:pPr>
              <w:pStyle w:val="null3"/>
            </w:pPr>
            <w:r>
              <w:rPr/>
              <w:t>项目经理资质</w:t>
            </w:r>
          </w:p>
        </w:tc>
        <w:tc>
          <w:tcPr>
            <w:tcW w:type="dxa" w:w="3322"/>
          </w:tcPr>
          <w:p>
            <w:pPr>
              <w:pStyle w:val="null3"/>
            </w:pPr>
            <w:r>
              <w:rPr/>
              <w:t>供应商拟派项目负责人须具备有效的水利水电专业二级或以上建造师注册证书及水行政主管部门颁发的安全生产考核合格证（B证），且无在建工程并提供承诺书；</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8</w:t>
            </w:r>
          </w:p>
        </w:tc>
        <w:tc>
          <w:tcPr>
            <w:tcW w:type="dxa" w:w="2492"/>
          </w:tcPr>
          <w:p>
            <w:pPr>
              <w:pStyle w:val="null3"/>
            </w:pPr>
            <w:r>
              <w:rPr/>
              <w:t>平台备案</w:t>
            </w:r>
          </w:p>
        </w:tc>
        <w:tc>
          <w:tcPr>
            <w:tcW w:type="dxa" w:w="3322"/>
          </w:tcPr>
          <w:p>
            <w:pPr>
              <w:pStyle w:val="null3"/>
            </w:pPr>
            <w:r>
              <w:rPr/>
              <w:t>水利水电工程施工总承包企业信息需在“陕西省水利建设市场主体信用信息管理平台”登记备案；</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只能有一个有效报价，不得提交选择性报价，且报价不超过最高限价</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磋商响应文件上法定代表人或其授权代表人的签字齐全并加盖公章</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5</w:t>
            </w:r>
          </w:p>
        </w:tc>
        <w:tc>
          <w:tcPr>
            <w:tcW w:type="dxa" w:w="2492"/>
          </w:tcPr>
          <w:p>
            <w:pPr>
              <w:pStyle w:val="null3"/>
            </w:pPr>
            <w:r>
              <w:rPr/>
              <w:t>磋商响应文件内容</w:t>
            </w:r>
          </w:p>
        </w:tc>
        <w:tc>
          <w:tcPr>
            <w:tcW w:type="dxa" w:w="3322"/>
          </w:tcPr>
          <w:p>
            <w:pPr>
              <w:pStyle w:val="null3"/>
            </w:pPr>
            <w:r>
              <w:rPr/>
              <w:t>磋商响应文件内容齐全、无遗漏（除评标因素外）</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7</w:t>
            </w:r>
          </w:p>
        </w:tc>
        <w:tc>
          <w:tcPr>
            <w:tcW w:type="dxa" w:w="2492"/>
          </w:tcPr>
          <w:p>
            <w:pPr>
              <w:pStyle w:val="null3"/>
            </w:pPr>
            <w:r>
              <w:rPr/>
              <w:t>工期</w:t>
            </w:r>
          </w:p>
        </w:tc>
        <w:tc>
          <w:tcPr>
            <w:tcW w:type="dxa" w:w="3322"/>
          </w:tcPr>
          <w:p>
            <w:pPr>
              <w:pStyle w:val="null3"/>
            </w:pPr>
            <w:r>
              <w:rPr/>
              <w:t>应满足磋商文件中要求的工期</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8</w:t>
            </w:r>
          </w:p>
        </w:tc>
        <w:tc>
          <w:tcPr>
            <w:tcW w:type="dxa" w:w="2492"/>
          </w:tcPr>
          <w:p>
            <w:pPr>
              <w:pStyle w:val="null3"/>
            </w:pPr>
            <w:r>
              <w:rPr/>
              <w:t>实施地点</w:t>
            </w:r>
          </w:p>
        </w:tc>
        <w:tc>
          <w:tcPr>
            <w:tcW w:type="dxa" w:w="3322"/>
          </w:tcPr>
          <w:p>
            <w:pPr>
              <w:pStyle w:val="null3"/>
            </w:pPr>
            <w:r>
              <w:rPr/>
              <w:t>应满足磋商文件中要求的实施地点</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9</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方案应先进、合理、科学、完善、可行，评标委员会自主赋分。 措施切实可行得3.1-6分；措施基本满足、可行性一般得1-3；措施不健全、可行性不足的不得分。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措施应完善、先进、可行，评标委员会自主赋分。 措施切实可行得3.1-6分；措施基本满足、可行性一般得1-3；措施不健全、可行性不足的不得分。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保证文明施工的技术组织措施和环境保护措施合理科学先进，突出治污减霾。 措施切实可行得3.1-6分；措施基本满足、可行性一般得1-3；措施不健全、可行性不足的不得分。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确保工期的技术组织措施</w:t>
            </w:r>
          </w:p>
        </w:tc>
        <w:tc>
          <w:tcPr>
            <w:tcW w:type="dxa" w:w="2492"/>
          </w:tcPr>
          <w:p>
            <w:pPr>
              <w:pStyle w:val="null3"/>
            </w:pPr>
            <w:r>
              <w:rPr/>
              <w:t>保证工期的技术措施合理、科学、先进。 措施切实可行得3.1-6分；措施基本满足、可行性一般得1-3；措施不健全、可行性不足的不得分。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施工方案</w:t>
            </w:r>
          </w:p>
        </w:tc>
        <w:tc>
          <w:tcPr>
            <w:tcW w:type="dxa" w:w="2492"/>
          </w:tcPr>
          <w:p>
            <w:pPr>
              <w:pStyle w:val="null3"/>
            </w:pPr>
            <w:r>
              <w:rPr/>
              <w:t>施工方案完整、合理、科学，评标委员会自主赋分。 方案切实可行得3.1-6分；方案基本满足、可行性一般得1-3；方案不健全、可行性不足的不得分。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项目部人员配备情况</w:t>
            </w:r>
          </w:p>
        </w:tc>
        <w:tc>
          <w:tcPr>
            <w:tcW w:type="dxa" w:w="2492"/>
          </w:tcPr>
          <w:p>
            <w:pPr>
              <w:pStyle w:val="null3"/>
            </w:pPr>
            <w:r>
              <w:rPr/>
              <w:t>项目组织机构及主要专业技术人员、其他管理人员的配备，人员配备合理、齐全得3.1-6分；人员配备基本合理，基本齐全1-3分；人员配备不合理、不齐全不得分。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机械设备和材料投入计划</w:t>
            </w:r>
          </w:p>
        </w:tc>
        <w:tc>
          <w:tcPr>
            <w:tcW w:type="dxa" w:w="2492"/>
          </w:tcPr>
          <w:p>
            <w:pPr>
              <w:pStyle w:val="null3"/>
            </w:pPr>
            <w:r>
              <w:rPr/>
              <w:t>拟投入的施工设备情况及拟投入材料计划，评标委员会自主赋分。 人员配备切实可行得3.1-6分；人员配备基本满足、可行性一般得1-3；人员配备不健全、可行性不足的不得分。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劳动力安排计划</w:t>
            </w:r>
          </w:p>
        </w:tc>
        <w:tc>
          <w:tcPr>
            <w:tcW w:type="dxa" w:w="2492"/>
          </w:tcPr>
          <w:p>
            <w:pPr>
              <w:pStyle w:val="null3"/>
            </w:pPr>
            <w:r>
              <w:rPr/>
              <w:t>劳动力及机械设备安排合理妥当，评标委员会综合评比赋分，评标委员会自主赋分，得2-6分。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新材料、新设备、新工艺、新技术应用</w:t>
            </w:r>
          </w:p>
        </w:tc>
        <w:tc>
          <w:tcPr>
            <w:tcW w:type="dxa" w:w="2492"/>
          </w:tcPr>
          <w:p>
            <w:pPr>
              <w:pStyle w:val="null3"/>
            </w:pPr>
            <w:r>
              <w:rPr/>
              <w:t>根据投入的设备、技术、工艺评标委员会自主赋分。 方案切实可行得3.1-6分；方案基本满足、可行性一般得1-3；方案不健全、可行性不足的不得分。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企业类似业绩</w:t>
            </w:r>
          </w:p>
        </w:tc>
        <w:tc>
          <w:tcPr>
            <w:tcW w:type="dxa" w:w="2492"/>
          </w:tcPr>
          <w:p>
            <w:pPr>
              <w:pStyle w:val="null3"/>
            </w:pPr>
            <w:r>
              <w:rPr/>
              <w:t>提供2021年7月至今(附施工合同或中标通知书复印件，以施工合同签订日期为准)同类项目的业绩，每个业绩得2分，最高得10分，未按要求的不得分。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后期服务</w:t>
            </w:r>
          </w:p>
        </w:tc>
        <w:tc>
          <w:tcPr>
            <w:tcW w:type="dxa" w:w="2492"/>
          </w:tcPr>
          <w:p>
            <w:pPr>
              <w:pStyle w:val="null3"/>
            </w:pPr>
            <w:r>
              <w:rPr/>
              <w:t>根据项目特点及供应商的后期服务承诺能否满足本项目特点的及时有效服务。服务方案切实可行得3.1.-6分；方案基本满足、可行性一般得1-3；方案健全、可行性不足的不得分。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①经初审合格的磋商响应文件，其磋商报价为有效磋商报价，对符合政策性扣减的供应商的有效磋商价格进行政策性扣减，并依据扣减后的价格（评审价格）进行价格评审。 ②满足招标文件实质性要求且最终报价最低的供应商的价格为评标基准价，其价格分为满分30分。 ③投标报价得分=（评标基准价/投标报价）×30的公式计算得分。 ④磋商报价不完整的，不进入基准价的计算，本项得0分。 ⑤磋商小组二分之一以上人员认为某磋商总报价有低于成本价嫌疑的，视为无效报价，不进入下一步评审。磋商总报价超过本项目预算的亦视为无效报价。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3.0000%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已标价工程量清单 中小企业声明函 残疾人福利性单位声明函 报价函 标的清单 监狱企业的证明文件</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详见附件：施工服务方案</w:t>
      </w:r>
    </w:p>
    <w:p>
      <w:pPr>
        <w:pStyle w:val="null3"/>
        <w:ind w:firstLine="960"/>
      </w:pPr>
      <w:r>
        <w:rPr/>
        <w:t>详见附件：供应商认为需提供的其他材料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详见附件：建筑工程合同.docx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