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版本号：YC2531200131-ZFCG20251022002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周至县马岔河峪口段山洪沟治理工程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YC2531200131-ZFCG</w:t>
      </w:r>
      <w:r>
        <w:br/>
      </w:r>
      <w:r>
        <w:br/>
      </w:r>
      <w:r>
        <w:br/>
      </w:r>
    </w:p>
    <w:p>
      <w:pPr>
        <w:pStyle w:val="null3"/>
        <w:jc w:val="center"/>
        <w:outlineLvl w:val="2"/>
      </w:pPr>
      <w:r>
        <w:rPr>
          <w:rFonts w:ascii="仿宋_GB2312" w:hAnsi="仿宋_GB2312" w:cs="仿宋_GB2312" w:eastAsia="仿宋_GB2312"/>
          <w:sz w:val="28"/>
          <w:b/>
        </w:rPr>
        <w:t>西安市周至县就惠渠管理站</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西安市周至县就惠渠管理站</w:t>
      </w:r>
      <w:r>
        <w:rPr>
          <w:rFonts w:ascii="仿宋_GB2312" w:hAnsi="仿宋_GB2312" w:cs="仿宋_GB2312" w:eastAsia="仿宋_GB2312"/>
        </w:rPr>
        <w:t>委托，拟对</w:t>
      </w:r>
      <w:r>
        <w:rPr>
          <w:rFonts w:ascii="仿宋_GB2312" w:hAnsi="仿宋_GB2312" w:cs="仿宋_GB2312" w:eastAsia="仿宋_GB2312"/>
        </w:rPr>
        <w:t>周至县马岔河峪口段山洪沟治理工程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YC2531200131-ZFCG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周至县马岔河峪口段山洪沟治理工程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周至县马岔河峪口段山洪沟治理工程项目主要建设内容为：工程起点为马岔河生产路桥，终点为S107省道桥，工程治理河道总长246m，新建护岸工程总长498m，其中:左岸263m，右岸235m。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采购包1（周至县马岔河峪口段山洪沟治理工程）：属于专门面向中小企业采购。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3、企业资质：供应商须具备水利水电工程施工总承包三级及以上资质，并具有有效的安全生产许可证。</w:t>
      </w:r>
    </w:p>
    <w:p>
      <w:pPr>
        <w:pStyle w:val="null3"/>
      </w:pPr>
      <w:r>
        <w:rPr>
          <w:rFonts w:ascii="仿宋_GB2312" w:hAnsi="仿宋_GB2312" w:cs="仿宋_GB2312" w:eastAsia="仿宋_GB2312"/>
        </w:rPr>
        <w:t>4、拟派项目负责人资质和专业要求：拟派项目负责人须具备有效的水利水电工程专业二级及以上建造师注册证，并具备水行政主管部门颁发的安全生产考核合格证(B证)，且在本单位注册，无在建工程。</w:t>
      </w:r>
    </w:p>
    <w:p>
      <w:pPr>
        <w:pStyle w:val="null3"/>
      </w:pPr>
      <w:r>
        <w:rPr>
          <w:rFonts w:ascii="仿宋_GB2312" w:hAnsi="仿宋_GB2312" w:cs="仿宋_GB2312" w:eastAsia="仿宋_GB2312"/>
        </w:rPr>
        <w:t>5、企业信誉：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6、单位负责人为同一人或者存在直接控股管理关系的不同供应商：单位负责人为同一人或者存在直接控股、管理关系的不同供应商，不得参与同一合同项下的政府采购活动。</w:t>
      </w:r>
    </w:p>
    <w:p>
      <w:pPr>
        <w:pStyle w:val="null3"/>
      </w:pPr>
      <w:r>
        <w:rPr>
          <w:rFonts w:ascii="仿宋_GB2312" w:hAnsi="仿宋_GB2312" w:cs="仿宋_GB2312" w:eastAsia="仿宋_GB2312"/>
        </w:rPr>
        <w:t>7、联合体要求：本项目不接受联合体磋商（提供书面声明材料）。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西安市周至县就惠渠管理站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周至县楼观镇西楼观村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西安市周至县就惠渠管理站经办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15389236353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段薇、屈小军、赵醒文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15202421357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采购包1：1,496,811.54元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代理服务费收费标准：招标代理服务费参照国家计委关于印发《招标代理服务收费管理暂行办法》的通知（计价格[2002]1980号）文件标准收取，各标段成交供应商在领取成交通知书前一次性支付。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西安市周至县就惠渠管理站</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西安市周至县就惠渠管理站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西安市周至县就惠渠管理站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完成所有项目，质量达到国家施工验收规范“合格”标准。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联系人：段薇、屈小军、赵醒文</w:t>
      </w:r>
    </w:p>
    <w:p>
      <w:pPr>
        <w:pStyle w:val="null3"/>
      </w:pPr>
      <w:r>
        <w:rPr>
          <w:rFonts w:ascii="仿宋_GB2312" w:hAnsi="仿宋_GB2312" w:cs="仿宋_GB2312" w:eastAsia="仿宋_GB2312"/>
        </w:rPr>
        <w:t>联系电话：15202421357</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1,496,811.54</w:t>
      </w:r>
    </w:p>
    <w:p>
      <w:pPr>
        <w:pStyle w:val="null3"/>
      </w:pPr>
      <w:r>
        <w:rPr>
          <w:rFonts w:ascii="仿宋_GB2312" w:hAnsi="仿宋_GB2312" w:cs="仿宋_GB2312" w:eastAsia="仿宋_GB2312"/>
        </w:rPr>
        <w:t>采购包最高限价（元）: 1,496,811.54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周至县马岔河峪口段山洪沟治理工程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1,496,811.54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标的名称：周至县马岔河峪口段山洪沟治理工程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招标范围：周至县马岔河峪口段山洪沟治理工程项目主要建设内容为：工程起点为马岔河生产路桥，终点为S107省道桥，工程治理河道总长246m，新建护岸工程总长498m，其中:左岸263m，右岸235m。主要工程量:土石方开挖1.47万m³，土石方回填1.38万m³，埋石混凝土 2089m³，模板 3210㎡。具体内容详见工程量清单。</w:t>
            </w:r>
          </w:p>
          <w:p>
            <w:pPr>
              <w:pStyle w:val="null3"/>
              <w:spacing w:before="105" w:after="105"/>
              <w:jc w:val="left"/>
            </w:pPr>
            <w:r>
              <w:rPr>
                <w:rFonts w:ascii="仿宋_GB2312" w:hAnsi="仿宋_GB2312" w:cs="仿宋_GB2312" w:eastAsia="仿宋_GB2312"/>
                <w:sz w:val="24"/>
              </w:rPr>
              <w:t>2、工期：自合同签订之日起180天。</w:t>
            </w:r>
          </w:p>
          <w:p>
            <w:pPr>
              <w:pStyle w:val="null3"/>
              <w:spacing w:before="105" w:after="105"/>
              <w:jc w:val="left"/>
            </w:pPr>
            <w:r>
              <w:rPr>
                <w:rFonts w:ascii="仿宋_GB2312" w:hAnsi="仿宋_GB2312" w:cs="仿宋_GB2312" w:eastAsia="仿宋_GB2312"/>
                <w:sz w:val="24"/>
              </w:rPr>
              <w:t>3、质量要求：达到国家施工验收规范“合格”标准。</w:t>
            </w:r>
          </w:p>
          <w:p>
            <w:pPr>
              <w:pStyle w:val="null3"/>
              <w:spacing w:before="105" w:after="105"/>
              <w:jc w:val="left"/>
            </w:pPr>
            <w:r>
              <w:rPr>
                <w:rFonts w:ascii="仿宋_GB2312" w:hAnsi="仿宋_GB2312" w:cs="仿宋_GB2312" w:eastAsia="仿宋_GB2312"/>
                <w:sz w:val="24"/>
              </w:rPr>
              <w:t>4、质保期：工程竣工验收合格之日起壹年。</w:t>
            </w:r>
          </w:p>
          <w:p>
            <w:pPr>
              <w:pStyle w:val="null3"/>
              <w:spacing w:before="105" w:after="105"/>
              <w:jc w:val="left"/>
            </w:pPr>
            <w:r>
              <w:rPr>
                <w:rFonts w:ascii="仿宋_GB2312" w:hAnsi="仿宋_GB2312" w:cs="仿宋_GB2312" w:eastAsia="仿宋_GB2312"/>
                <w:sz w:val="24"/>
              </w:rPr>
              <w:t>5、其他要求;施工单位必须为本项目购买安全生产责任保险（简称“安责险”），以保障在施工过程中可能发生的生产安全事故导致的人员伤亡和相关经济损失。根据水利部颁布的《水利工程设计概算编制规定》和《水利工程工程量清单计价规范》（GB50501—2007），水利工程的单价分析表中包含安全措施费用。安责险作为安全措施的一部分，其费用已包含在这些安全措施费用中。</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达到国家施工规范验收“合格”标准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符合项目采购需求标准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 2、具有履行合同所必需的设备和专业技术能力（提供相关证明材料或承诺函）。 3、有依法缴纳税收和社会保障资金的良好记录。 1）、供应商须提供投标截止时间前一年内，已缴纳的任意一个月的纳税证明或完税证明或无欠税证明，纳税证明或完税证明或无欠税证明上应有代收机构或税务机关的公章或业务专用章，依法免税的供应商应提供相关文件证明。 2）、供应商须提供投标截止时间前一年内，已缴存的任意一个月的社会保障资金缴存单据或社保机构开具的社会保险参保缴费情况证明，单据或证明上应有社保机构或代收机构的公章或业务专用章。依法不需要缴纳社会保障资金的供应商应提供相关文件证明。 4、参加政府采购活动前三年内，在经营活动中没有重大违法记录（提供书面声明函）。</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投标人是企业的，财务报告是指经会计师事务所审计的上述指定年度整个会计年度财务报表（须提供会计师事务所出具的审计报告复印件）。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2）提供资信证明原件扫描件或复印件，应满足以下要求：①资信证明须为递交响应文件截止时间前三个月内由投标人开户银行出具。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供应商须具备水利水电工程施工总承包三级及以上资质，并具有有效的安全生产许可证。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拟派项目负责人须具备有效的水利水电工程专业二级及以上建造师注册证，并具备水行政主管部门颁发的安全生产考核合格证(B证)，且在本单位注册，无在建工程。</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w:t>
            </w:r>
          </w:p>
        </w:tc>
        <w:tc>
          <w:tcPr>
            <w:tcW w:type="dxa" w:w="3322"/>
          </w:tcPr>
          <w:p>
            <w:pPr>
              <w:pStyle w:val="null3"/>
            </w:pPr>
            <w:r>
              <w:rPr>
                <w:rFonts w:ascii="仿宋_GB2312" w:hAnsi="仿宋_GB2312" w:cs="仿宋_GB2312" w:eastAsia="仿宋_GB2312"/>
              </w:rPr>
              <w:t>单位负责人为同一人或者存在直接控股、管理关系的不同供应商，不得参与同一合同项下的政府采购活动。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磋商报价不得超过采购预算或者最高限价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相关资格证明材料.docx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满足竞争性磋商文件中“响应文件格式”要求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相关资格证明材料.docx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针对本项目提供的需求制定合理的总体实施方案，包括但不限于以下内容：①治理方式和目标②严格的施工组织设计方案③治理标准流程，并按照以下标准评审： 一、评审标准 1、完整性：方案必须全面，对评审内容中的各项要求有详细描述； 2、可实施性：切合本项目实际情况，提出步骤清晰、合理的方案； 3、针对性：方案能够紧扣项目实际情况，内容科学合理。 赋分标准（满分9分） ①治理方式和目标：每满足一个评审标准得1分，满分3分，缺项或与项目实质性内容不符得0分； ②严格的施工组织设计方案：每满足一个评审标准得1分，满分3分，缺项或与项目实质性内容不符得0分； ③治理标准流程：每满足一个评审标准得1分，满分3分，缺项或与项目实质性内容不符得0分。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质量管理保证措施</w:t>
            </w:r>
          </w:p>
        </w:tc>
        <w:tc>
          <w:tcPr>
            <w:tcW w:type="dxa" w:w="2492"/>
          </w:tcPr>
          <w:p>
            <w:pPr>
              <w:pStyle w:val="null3"/>
            </w:pPr>
            <w:r>
              <w:rPr>
                <w:rFonts w:ascii="仿宋_GB2312" w:hAnsi="仿宋_GB2312" w:cs="仿宋_GB2312" w:eastAsia="仿宋_GB2312"/>
              </w:rPr>
              <w:t>质量管理保证措施内容至少包括①具备健全的质量管理体系；②人、材、机设备的质量控制；③施工过程阶段的质量保证措施等。 评审标准 1、完整性：方案必须全面，对评审内容中的各项要求有详细描述； 2、可实施性：切合本项目实际情况，提出步骤清晰、合理的方案； 3、针对性：方案能够紧扣项目实际情况，内容科学合理。 赋分标准（满分9分） ①具备健全的质量管理体系：每满足一个评审标准得1分，满分3分，缺项或与项目实质性内容不符得0分； ②人、材、机设备的质量控制：每满足一个评审标准得1分，满分3分，缺项或与项目实质性内容不符得0分； ③施工过程阶段的质量保证措施：每满足一个评审标准得1分，满分3分，缺项或与项目实质性内容不符得0分。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安全管理体系与措施内容至少包括①安全生产管理制度；②配置安全组织机构；③应急救援机制等。 评审标准 1、完整性：方案必须全面，对评审内容中的各项要求有详细描述； 2、可实施性：切合本项目实际情况，提出步骤清晰、合理的方案； 3、针对性：方案能够紧扣项目实际情况，内容科学合理。 赋分标准（满分9分） ①安全生产管理制度：每满足一个评审标准得1分，满分3分，缺项或与项目实质性内容不符得0分； ②配置安全组织机构：每满足一个评审标准得1分，满分3分，缺项或与项目实质性内容不符得0分； ③应急救援机制：每满足一个评审标准得1分，满分3分，缺项或与项目实质性内容不符得0分。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环境保护管理体系与措施内容至少包括①环境保护措施；②水土保持措施；③预防和动态控制措施及制度等。 一、评审标准 1、完整性：方案必须全面，对评审内容中的各项要求有详细描述； 2、可实施性：切合本项目实际情况，提出步骤清晰、合理的方案； 3、针对性：方案能够紧扣项目实际情况，内容科学合理。 二、赋分标准（满分9分） ①环境保护措施：每满足一个评审标准得1分，满分3分，缺项或与项目实质性内容不符得0分； ②水土保持措施：每满足一个评审标准得1分，满分3分，缺项或与项目实质性内容不符得0分； ③预防和动态控制措施及制度：每满足一个评审标准得1分，满分3分，缺项或与项目实质性内容不符得0分。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针对本项目内容配备合理的人员。 评审标准： 拟投入本项目人员数量充足，专业人员配置齐全、针对性强、分工明确，能够充分满足采购人项目需求的得6分；人员配备数量充足，专业人员配备能够基本满足项目实施需要，分工有一定的合理性，基本能满足项目需求的得4分；人员配备数量较充足、专业人员配备能够基本满足项目实施需要但分工合理性较差的得2分；人员配备数量较少，专业人员配备不齐全，合理性差的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项目进度计划安排</w:t>
            </w:r>
          </w:p>
        </w:tc>
        <w:tc>
          <w:tcPr>
            <w:tcW w:type="dxa" w:w="2492"/>
          </w:tcPr>
          <w:p>
            <w:pPr>
              <w:pStyle w:val="null3"/>
            </w:pPr>
            <w:r>
              <w:rPr>
                <w:rFonts w:ascii="仿宋_GB2312" w:hAnsi="仿宋_GB2312" w:cs="仿宋_GB2312" w:eastAsia="仿宋_GB2312"/>
              </w:rPr>
              <w:t>1、工期满足磋商文件要求、进度计划有横道图且工期控制合理，工期保障措施完善合理得3分；2、总工期满足招标文件要求、进度计划有横道图，工期控制基本合理，保障措施一般得2分；3、总工期满足招标文件要求，无进度计划横道图得1分。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专业设备及技术</w:t>
            </w:r>
          </w:p>
        </w:tc>
        <w:tc>
          <w:tcPr>
            <w:tcW w:type="dxa" w:w="2492"/>
          </w:tcPr>
          <w:p>
            <w:pPr>
              <w:pStyle w:val="null3"/>
            </w:pPr>
            <w:r>
              <w:rPr>
                <w:rFonts w:ascii="仿宋_GB2312" w:hAnsi="仿宋_GB2312" w:cs="仿宋_GB2312" w:eastAsia="仿宋_GB2312"/>
              </w:rPr>
              <w:t>投标人针对本项目特点提供拟投入本项目的所需设备，根据设备及技术的情况评审：设备完善精确、使用高新技术手段，能够充分保障项目的实施得3分；设备完善较精确、使用完善的技术手段，能够保障项目的实施得2分；设备基本完善精确、使用一定的技术手段，能够基本保障项目的实施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投标人针对本项目提出应急预案内容符合采购人需求且详细完善，涵盖了可能出现的各类突发事件（如滑坡或崩塌、围堰崩决、施工导流失败、人员安全事故、突发性环境污染等突发安全事件等）；并按以下标准评审：（1）方案完整，对事件的应急响应流程、责任分工、应急资源调配等方面有明确规定、针对性及科学合理的得3分；（2）方案完整性较高，对常见突发事件有一定的考虑，可实施性清晰较合理，针对性一般的得2分；（3）方案完整性不高，可实施性一般，对事件的分析和应对措施缺乏针对性的得1分；（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投标人根据本项目实施过程中的重点、难点进行分析，并且提出合理的解决方案； 1、重点难点分析准确、科学、符合项目特点得3分；分析较科学合理一般得2分，分析不合理得1分，未提供不得分。 2、合理化解决方案科学、针对性强得3分；方案合理、针对性一般得2分，方案不合理、针对性差得1分；未提供不得分。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在项目实施期间及完成后所承诺的责任、服务内容，对廉政责任、施工质量、重大安全生产事故、杜绝拖欠雇员（或民工）工资行为等方面做出承诺。承诺内容逐条明确且承诺内容详细要求得3分；承诺内容逐条明确但承诺内容含义不清得2分；承诺内容缺失不够全面且相关内容表述含义不明得1分；承诺内容严重背离项目实际情况且相关内容缺失严重或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供应商近3年(自2022年7月1日至今以合同签订日期为准)类似项目业绩，每提供一个业绩得2分，最高得10分;(业绩以加盖单位公章的合同复印件为准。)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价格分采用低价优先法计算，即满足磋商文件要求且最后磋商报价最低的供应商的价格为磋商基准价，其价格分为满分。其他供应商的价格分统一按照下列公式计算: 磋商报价得分=(磋商基准价/最后磋商报价)X价格分值。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详见附件：范本合同.docx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