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版本号：ZYCG-2025101120251017001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周至县集贤镇金凤村九组十组提升供水改造工程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ZYCG-20251011</w:t>
      </w:r>
      <w:r>
        <w:br/>
      </w:r>
      <w:r>
        <w:br/>
      </w:r>
      <w:r>
        <w:br/>
      </w:r>
    </w:p>
    <w:p>
      <w:pPr>
        <w:pStyle w:val="null3"/>
        <w:jc w:val="center"/>
        <w:outlineLvl w:val="2"/>
      </w:pPr>
      <w:r>
        <w:rPr>
          <w:rFonts w:ascii="仿宋_GB2312" w:hAnsi="仿宋_GB2312" w:cs="仿宋_GB2312" w:eastAsia="仿宋_GB2312"/>
          <w:sz w:val="28"/>
          <w:b/>
        </w:rPr>
        <w:t>西安市周至县引汉济渭（黑河治理）办公室</w:t>
      </w:r>
    </w:p>
    <w:p>
      <w:pPr>
        <w:pStyle w:val="null3"/>
        <w:jc w:val="center"/>
        <w:outlineLvl w:val="2"/>
      </w:pPr>
      <w:r>
        <w:rPr>
          <w:rFonts w:ascii="仿宋_GB2312" w:hAnsi="仿宋_GB2312" w:cs="仿宋_GB2312" w:eastAsia="仿宋_GB2312"/>
          <w:sz w:val="28"/>
          <w:b/>
        </w:rPr>
        <w:t>陕西凌致创远工程项目管理有限公司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陕西凌致创远工程项目管理有限公司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西安市周至县引汉济渭（黑河治理）办公室</w:t>
      </w:r>
      <w:r>
        <w:rPr>
          <w:rFonts w:ascii="仿宋_GB2312" w:hAnsi="仿宋_GB2312" w:cs="仿宋_GB2312" w:eastAsia="仿宋_GB2312"/>
        </w:rPr>
        <w:t>委托，拟对</w:t>
      </w:r>
      <w:r>
        <w:rPr>
          <w:rFonts w:ascii="仿宋_GB2312" w:hAnsi="仿宋_GB2312" w:cs="仿宋_GB2312" w:eastAsia="仿宋_GB2312"/>
        </w:rPr>
        <w:t>周至县集贤镇金凤村九组十组提升供水改造工程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ZYCG-20251011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周至县集贤镇金凤村九组十组提升供水改造工程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招标内容主要包含：①新打一眼水源井，配套潜水泵1台，配电柜1套，软启动柜1套，消毒装置1套;新建管理房1座;②新建蓄水池1座;③铺设输水管道，并配自动化控制系统1套，安装各类阀表，配套阀井1个等。（具体详见竞争性磋商文件、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采购包1（周至县集贤镇金凤村九组十组提升供水改造工程）：属于专门面向中小企业采购。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3、企业资质：供应商企业应具备水利水电工程施工总承包三级（含三级）以上资质，具有建设行政主管部门颁发的安全生产许可证</w:t>
      </w:r>
    </w:p>
    <w:p>
      <w:pPr>
        <w:pStyle w:val="null3"/>
      </w:pPr>
      <w:r>
        <w:rPr>
          <w:rFonts w:ascii="仿宋_GB2312" w:hAnsi="仿宋_GB2312" w:cs="仿宋_GB2312" w:eastAsia="仿宋_GB2312"/>
        </w:rPr>
        <w:t>4、项目经理资质和专业要求：项目经理资质和专业要求：具有水利水电工程专业二级（含二级）以上建造师注册证书及水利行政主管部门颁发的安全生产考核合格证，在本单位注册，且无在建工程（提供承诺书）；</w:t>
      </w:r>
    </w:p>
    <w:p>
      <w:pPr>
        <w:pStyle w:val="null3"/>
      </w:pPr>
      <w:r>
        <w:rPr>
          <w:rFonts w:ascii="仿宋_GB2312" w:hAnsi="仿宋_GB2312" w:cs="仿宋_GB2312" w:eastAsia="仿宋_GB2312"/>
        </w:rPr>
        <w:t>5、专职安全员：专职安全员：具有水利行政主管部门颁发的安全生产考核合格证；</w:t>
      </w:r>
    </w:p>
    <w:p>
      <w:pPr>
        <w:pStyle w:val="null3"/>
      </w:pPr>
      <w:r>
        <w:rPr>
          <w:rFonts w:ascii="仿宋_GB2312" w:hAnsi="仿宋_GB2312" w:cs="仿宋_GB2312" w:eastAsia="仿宋_GB2312"/>
        </w:rPr>
        <w:t>6、财务状况报告：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p>
      <w:pPr>
        <w:pStyle w:val="null3"/>
      </w:pPr>
      <w:r>
        <w:rPr>
          <w:rFonts w:ascii="仿宋_GB2312" w:hAnsi="仿宋_GB2312" w:cs="仿宋_GB2312" w:eastAsia="仿宋_GB2312"/>
        </w:rPr>
        <w:t>7、税收缴纳证明：提供2025年1月1日至今已缴纳的至少一个月的纳税证明或完税证明，依法免税的单位应提供相关证明材料；</w:t>
      </w:r>
    </w:p>
    <w:p>
      <w:pPr>
        <w:pStyle w:val="null3"/>
      </w:pPr>
      <w:r>
        <w:rPr>
          <w:rFonts w:ascii="仿宋_GB2312" w:hAnsi="仿宋_GB2312" w:cs="仿宋_GB2312" w:eastAsia="仿宋_GB2312"/>
        </w:rPr>
        <w:t>8、社会保障资金缴纳证明：提供2025年1月1日至今已缴存的至少一个月的社会保障资金缴存单据或社保机构开具的社会保险参保缴费情况证明，依法不需要缴纳社会保障资金的单位应提供相关证明材料；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9、信用记录：供应商不得为“信用中国”网站（www.creditchina.gov.cn）中列入失信被执行人和重大税收违法案件当事人名单，不得为中国政府采购网（www.ccgp.gov.cn）政府采购严重违法失信行为记录名单；</w:t>
      </w:r>
    </w:p>
    <w:p>
      <w:pPr>
        <w:pStyle w:val="null3"/>
      </w:pPr>
      <w:r>
        <w:rPr>
          <w:rFonts w:ascii="仿宋_GB2312" w:hAnsi="仿宋_GB2312" w:cs="仿宋_GB2312" w:eastAsia="仿宋_GB2312"/>
        </w:rPr>
        <w:t>10、参加政府采购活动 前3年内，在经营 活动中没有重大违 法记录：参加政府采购活动前三年内在经营活动中没有重大违法记录的书面承诺；</w:t>
      </w:r>
    </w:p>
    <w:p>
      <w:pPr>
        <w:pStyle w:val="null3"/>
      </w:pPr>
      <w:r>
        <w:rPr>
          <w:rFonts w:ascii="仿宋_GB2312" w:hAnsi="仿宋_GB2312" w:cs="仿宋_GB2312" w:eastAsia="仿宋_GB2312"/>
        </w:rPr>
        <w:t>11、本项目不接受联合体磋商：本项目不接受联合体磋商，提供书面承诺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西安市周至县引汉济渭（黑河治理）办公室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周至县楼观镇肖里村（老环山路东）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029-85180652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陕西凌致创远工程项目管理有限公司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陕西省西安市莲湖区杏园路太奥国际</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采购包1：996,635.82元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代理服务费收费标准：本项目收取代理服务费 代理服务费用收取对象：采购人 代理服务费收费标准：代理服务费金额按照“ 国家计委关于印发《招标代理服务收费管理暂行办法的通知》（计价格【2002】1980号）”文中规定的收费标准下浮5%向采购代理机构一次性全额支付。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西安市周至县引汉济渭（黑河治理）办公室</w:t>
      </w:r>
      <w:r>
        <w:rPr>
          <w:rFonts w:ascii="仿宋_GB2312" w:hAnsi="仿宋_GB2312" w:cs="仿宋_GB2312" w:eastAsia="仿宋_GB2312"/>
        </w:rPr>
        <w:t>和</w:t>
      </w:r>
      <w:r>
        <w:rPr>
          <w:rFonts w:ascii="仿宋_GB2312" w:hAnsi="仿宋_GB2312" w:cs="仿宋_GB2312" w:eastAsia="仿宋_GB2312"/>
        </w:rPr>
        <w:t>陕西凌致创远工程项目管理有限公司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西安市周至县引汉济渭（黑河治理）办公室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陕西凌致创远工程项目管理有限公司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西安市周至县引汉济渭（黑河治理）办公室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陕西凌致创远工程项目管理有限公司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陕西凌致创远工程项目管理有限公司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陕西凌致创远工程项目管理有限公司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陕西凌致创远工程项目管理有限公司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联系电话：15399415473</w:t>
      </w:r>
    </w:p>
    <w:p>
      <w:pPr>
        <w:pStyle w:val="null3"/>
      </w:pPr>
      <w:r>
        <w:rPr>
          <w:rFonts w:ascii="仿宋_GB2312" w:hAnsi="仿宋_GB2312" w:cs="仿宋_GB2312" w:eastAsia="仿宋_GB2312"/>
        </w:rPr>
        <w:t>地址：陕西省西安市莲湖区杏园路太奥国际</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996,635.82</w:t>
      </w:r>
    </w:p>
    <w:p>
      <w:pPr>
        <w:pStyle w:val="null3"/>
      </w:pPr>
      <w:r>
        <w:rPr>
          <w:rFonts w:ascii="仿宋_GB2312" w:hAnsi="仿宋_GB2312" w:cs="仿宋_GB2312" w:eastAsia="仿宋_GB2312"/>
        </w:rPr>
        <w:t>采购包最高限价（元）: 996,635.82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996,635.82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工程量清单及图纸</w:t>
            </w:r>
            <w:r>
              <w:rPr>
                <w:rFonts w:ascii="仿宋_GB2312" w:hAnsi="仿宋_GB2312" w:cs="仿宋_GB2312" w:eastAsia="仿宋_GB2312"/>
                <w:sz w:val="19"/>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1.本项目工期：3个月。 2.磋商最后报价，采购内容无实质性变更的情况，不得超过第一次磋商报价，各供应商最后报价中所有报价 (与最后磋商报价比例一致) 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供应商企业应具备水利水电工程施工总承包三级（含三级）以上资质，具有建设行政主管部门颁发的安全生产许可证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项目经理资质和专业要求</w:t>
            </w:r>
          </w:p>
        </w:tc>
        <w:tc>
          <w:tcPr>
            <w:tcW w:type="dxa" w:w="3322"/>
          </w:tcPr>
          <w:p>
            <w:pPr>
              <w:pStyle w:val="null3"/>
            </w:pPr>
            <w:r>
              <w:rPr>
                <w:rFonts w:ascii="仿宋_GB2312" w:hAnsi="仿宋_GB2312" w:cs="仿宋_GB2312" w:eastAsia="仿宋_GB2312"/>
              </w:rPr>
              <w:t>项目经理资质和专业要求：具有水利水电工程专业二级（含二级）以上建造师注册证书及水利行政主管部门颁发的安全生产考核合格证，在本单位注册，且无在建工程（提供承诺书）；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无在建承诺书.docx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专职安全员</w:t>
            </w:r>
          </w:p>
        </w:tc>
        <w:tc>
          <w:tcPr>
            <w:tcW w:type="dxa" w:w="3322"/>
          </w:tcPr>
          <w:p>
            <w:pPr>
              <w:pStyle w:val="null3"/>
            </w:pPr>
            <w:r>
              <w:rPr>
                <w:rFonts w:ascii="仿宋_GB2312" w:hAnsi="仿宋_GB2312" w:cs="仿宋_GB2312" w:eastAsia="仿宋_GB2312"/>
              </w:rPr>
              <w:t>专职安全员：具有水利行政主管部门颁发的安全生产考核合格证；</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供应商不得为“信用中国”网站（www.creditchina.gov.cn）中列入失信被执行人和重大税收违法案件当事人名单，不得为中国政府采购网（www.ccgp.gov.cn）政府采购严重违法失信行为记录名单；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参加政府采购活动 前3年内，在经营 活动中没有重大违 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 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授权委托书.docx 技术服务合同条款及其他商务要求应答表 供应商应提交的相关资格证明材料 施工组织设计.docx 强制优先采购产品承诺函 响应文件封面 项目管理机构组成表 供应商认为有必要补充说明的事项.docx 残疾人福利性单位声明函 报价函 标的清单 供应商类似项目业绩一览表 无在建承诺书.docx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施工部署及总平面布置满足施工要求 、部署合理、全面者得满分，否则，酌情赋分（0-5分）；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方案技术先进，措施全面具有针对性且无盲点区域得满分，否则酌情赋分（0-10分）；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质量管理体系健全、措施有力、控制点设置合理得满分，否则酌情赋分（0-5分）；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安全管理体系健全、控制措施合理得满分，否则酌情赋分（0-5分）；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进度计划合理、关键路径及逻辑关系明确、措施保证计划满足要求得满分，否则酌情赋分（0-5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项目部组成人员合理科学 、配备齐全、分工明确、专业配套、满足工程需要得满分，否则酌情 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设备配备计划满足施工要求、劳动力配备合理、监测检查仪器设备配置满足要求、资金使用计划 详细全面得满分，否则酌情赋分（0-5分）；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水土保持、环境保护管 理体系与措施</w:t>
            </w:r>
          </w:p>
        </w:tc>
        <w:tc>
          <w:tcPr>
            <w:tcW w:type="dxa" w:w="2492"/>
          </w:tcPr>
          <w:p>
            <w:pPr>
              <w:pStyle w:val="null3"/>
            </w:pPr>
            <w:r>
              <w:rPr>
                <w:rFonts w:ascii="仿宋_GB2312" w:hAnsi="仿宋_GB2312" w:cs="仿宋_GB2312" w:eastAsia="仿宋_GB2312"/>
              </w:rPr>
              <w:t>管理体系健全，污染物处理、排放与国家和地方水土保持、环境保护标准的符合性，技术及管理措施 可行得满分，否则酌情赋分（0-5）分；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防汛度汛与文明工地建设措施</w:t>
            </w:r>
          </w:p>
        </w:tc>
        <w:tc>
          <w:tcPr>
            <w:tcW w:type="dxa" w:w="2492"/>
          </w:tcPr>
          <w:p>
            <w:pPr>
              <w:pStyle w:val="null3"/>
            </w:pPr>
            <w:r>
              <w:rPr>
                <w:rFonts w:ascii="仿宋_GB2312" w:hAnsi="仿宋_GB2312" w:cs="仿宋_GB2312" w:eastAsia="仿宋_GB2312"/>
              </w:rPr>
              <w:t>方案可行，措施全面，具有针对性者得满分，否则，酌情赋分（0-5分）；未提供不得分。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项目风险预测与防范、事故应急预案考虑全面，切实可行，操作性强，经济合理得满分，否则酌情赋 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 年10月1日至今）有类似项目业绩，每有1项得 2 分，最多得 10 分。 注：1.以合同协议书复印件为准。 2.时间以合同协议书签订时间为准。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工程质量承诺完整、合理（0-5分）。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满足招标文件要求且报价最低的投标人的价格为基准价，其价格得分为满分。其他投标人的价格得分统 一按照下列公式计算： 投标报价得分=（评标基准价/投标报价）×价格权值（30%）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详见附件：无在建承诺书.docx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