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版本号：HYGH2025-ZCCS-111420251111001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哑柏镇西大街人居环境综合整治项目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HYGH2025-ZCCS-1114</w:t>
      </w:r>
      <w:r>
        <w:br/>
      </w:r>
      <w:r>
        <w:br/>
      </w:r>
      <w:r>
        <w:br/>
      </w:r>
    </w:p>
    <w:p>
      <w:pPr>
        <w:pStyle w:val="null3"/>
        <w:jc w:val="center"/>
        <w:outlineLvl w:val="2"/>
      </w:pPr>
      <w:r>
        <w:rPr>
          <w:rFonts w:ascii="仿宋_GB2312" w:hAnsi="仿宋_GB2312" w:cs="仿宋_GB2312" w:eastAsia="仿宋_GB2312"/>
          <w:sz w:val="28"/>
          <w:b/>
        </w:rPr>
        <w:t>周至县哑柏镇人民政府</w:t>
      </w:r>
    </w:p>
    <w:p>
      <w:pPr>
        <w:pStyle w:val="null3"/>
        <w:jc w:val="center"/>
        <w:outlineLvl w:val="2"/>
      </w:pPr>
      <w:r>
        <w:rPr>
          <w:rFonts w:ascii="仿宋_GB2312" w:hAnsi="仿宋_GB2312" w:cs="仿宋_GB2312" w:eastAsia="仿宋_GB2312"/>
          <w:sz w:val="28"/>
          <w:b/>
        </w:rPr>
        <w:t>陕西海源广合项目管理有限公司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陕西海源广合项目管理有限公司</w:t>
      </w:r>
      <w:r>
        <w:rPr>
          <w:rFonts w:ascii="仿宋_GB2312" w:hAnsi="仿宋_GB2312" w:cs="仿宋_GB2312" w:eastAsia="仿宋_GB2312"/>
        </w:rPr>
        <w:t>（以下简称“代理机构”）受</w:t>
      </w:r>
      <w:r>
        <w:rPr>
          <w:rFonts w:ascii="仿宋_GB2312" w:hAnsi="仿宋_GB2312" w:cs="仿宋_GB2312" w:eastAsia="仿宋_GB2312"/>
        </w:rPr>
        <w:t>周至县哑柏镇人民政府</w:t>
      </w:r>
      <w:r>
        <w:rPr>
          <w:rFonts w:ascii="仿宋_GB2312" w:hAnsi="仿宋_GB2312" w:cs="仿宋_GB2312" w:eastAsia="仿宋_GB2312"/>
        </w:rPr>
        <w:t>委托，拟对</w:t>
      </w:r>
      <w:r>
        <w:rPr>
          <w:rFonts w:ascii="仿宋_GB2312" w:hAnsi="仿宋_GB2312" w:cs="仿宋_GB2312" w:eastAsia="仿宋_GB2312"/>
        </w:rPr>
        <w:t>哑柏镇西大街人居环境综合整治项目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HYGH2025-ZCCS-1114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哑柏镇西大街人居环境综合整治项目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哑柏镇西大街人居环境综合整治项目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采购包1（哑柏镇西大街人居环境综合整治项目）：属于专门面向中小企业采购。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3、财务审计报告：提供2024年度完整的财务审计报告或开标时间前六个月内银行出具的资信证明；</w:t>
      </w:r>
    </w:p>
    <w:p>
      <w:pPr>
        <w:pStyle w:val="null3"/>
      </w:pPr>
      <w:r>
        <w:rPr>
          <w:rFonts w:ascii="仿宋_GB2312" w:hAnsi="仿宋_GB2312" w:cs="仿宋_GB2312" w:eastAsia="仿宋_GB2312"/>
        </w:rPr>
        <w:t>4、税收缴纳证明：提供磋商截止日前近一年内任意一个月的纳税证明或完税证明（任意税种），依法免税的单位应提供相关证明材料；</w:t>
      </w:r>
    </w:p>
    <w:p>
      <w:pPr>
        <w:pStyle w:val="null3"/>
      </w:pPr>
      <w:r>
        <w:rPr>
          <w:rFonts w:ascii="仿宋_GB2312" w:hAnsi="仿宋_GB2312" w:cs="仿宋_GB2312" w:eastAsia="仿宋_GB2312"/>
        </w:rPr>
        <w:t>5、社会保障资金缴纳证明：提供磋商截止日前近一年内任意一个月的社会保障资金缴存单据或社保机构开具的社会保险参保缴费情况证明，依法不需要缴纳社会保障资金的单位应提供相关证明材料；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6、说明及承诺书：提供具有履行本合同所必需的设备和专业技术能力的说明及承诺书；</w:t>
      </w:r>
    </w:p>
    <w:p>
      <w:pPr>
        <w:pStyle w:val="null3"/>
      </w:pPr>
      <w:r>
        <w:rPr>
          <w:rFonts w:ascii="仿宋_GB2312" w:hAnsi="仿宋_GB2312" w:cs="仿宋_GB2312" w:eastAsia="仿宋_GB2312"/>
        </w:rPr>
        <w:t>7、查询相关主体信用记录：供应商通过“信用中国”网站(www.creditchina.gov.cn)、中国政府采购网(www.ccgp.gov.cn)等查询相关主体信用记录；</w:t>
      </w:r>
    </w:p>
    <w:p>
      <w:pPr>
        <w:pStyle w:val="null3"/>
      </w:pPr>
      <w:r>
        <w:rPr>
          <w:rFonts w:ascii="仿宋_GB2312" w:hAnsi="仿宋_GB2312" w:cs="仿宋_GB2312" w:eastAsia="仿宋_GB2312"/>
        </w:rPr>
        <w:t>8、书面声明：参加政府采购活动前3年内，在经营活动中没有重大违法记录的书面声明；</w:t>
      </w:r>
    </w:p>
    <w:p>
      <w:pPr>
        <w:pStyle w:val="null3"/>
      </w:pPr>
      <w:r>
        <w:rPr>
          <w:rFonts w:ascii="仿宋_GB2312" w:hAnsi="仿宋_GB2312" w:cs="仿宋_GB2312" w:eastAsia="仿宋_GB2312"/>
        </w:rPr>
        <w:t>9、企业资质：具备建设行政部门颁发的市政公用工程施工总承包三级及以上资质，且具有有效的安全生产许可证；</w:t>
      </w:r>
    </w:p>
    <w:p>
      <w:pPr>
        <w:pStyle w:val="null3"/>
      </w:pPr>
      <w:r>
        <w:rPr>
          <w:rFonts w:ascii="仿宋_GB2312" w:hAnsi="仿宋_GB2312" w:cs="仿宋_GB2312" w:eastAsia="仿宋_GB2312"/>
        </w:rPr>
        <w:t>10、拟派项目经理资质：拟派项目经理须具有市政公用工程专业二级及以上注册建造师资质并具有安全生产考核合格证，在本单位注册且无在建工程（提供无在建承诺书）；</w:t>
      </w:r>
    </w:p>
    <w:p>
      <w:pPr>
        <w:pStyle w:val="null3"/>
      </w:pPr>
      <w:r>
        <w:rPr>
          <w:rFonts w:ascii="仿宋_GB2312" w:hAnsi="仿宋_GB2312" w:cs="仿宋_GB2312" w:eastAsia="仿宋_GB2312"/>
        </w:rPr>
        <w:t>11、中小企业声明函：需提供中小企业声明函；</w:t>
      </w:r>
    </w:p>
    <w:p>
      <w:pPr>
        <w:pStyle w:val="null3"/>
      </w:pPr>
      <w:r>
        <w:rPr>
          <w:rFonts w:ascii="仿宋_GB2312" w:hAnsi="仿宋_GB2312" w:cs="仿宋_GB2312" w:eastAsia="仿宋_GB2312"/>
        </w:rPr>
        <w:t>12、本项目不接受联合体磋商：本项目不接受联合体磋商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周至县哑柏镇人民政府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周至县哑柏镇广场一号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周至县哑柏镇人民政府经办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13186102612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陕西海源广合项目管理有限公司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陕西省西安市阎良区国家航空高技术产业基地蓝天一路 29号西安航空创新创业园研发楼301-12</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刘沁园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18791025837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采购包1：2,536,928.42元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周至县哑柏镇人民政府</w:t>
      </w:r>
      <w:r>
        <w:rPr>
          <w:rFonts w:ascii="仿宋_GB2312" w:hAnsi="仿宋_GB2312" w:cs="仿宋_GB2312" w:eastAsia="仿宋_GB2312"/>
        </w:rPr>
        <w:t>和</w:t>
      </w:r>
      <w:r>
        <w:rPr>
          <w:rFonts w:ascii="仿宋_GB2312" w:hAnsi="仿宋_GB2312" w:cs="仿宋_GB2312" w:eastAsia="仿宋_GB2312"/>
        </w:rPr>
        <w:t>陕西海源广合项目管理有限公司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周至县哑柏镇人民政府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陕西海源广合项目管理有限公司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周至县哑柏镇人民政府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陕西海源广合项目管理有限公司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联系人：刘沁园</w:t>
      </w:r>
    </w:p>
    <w:p>
      <w:pPr>
        <w:pStyle w:val="null3"/>
      </w:pPr>
      <w:r>
        <w:rPr>
          <w:rFonts w:ascii="仿宋_GB2312" w:hAnsi="仿宋_GB2312" w:cs="仿宋_GB2312" w:eastAsia="仿宋_GB2312"/>
        </w:rPr>
        <w:t>联系电话：18791025837</w:t>
      </w:r>
    </w:p>
    <w:p>
      <w:pPr>
        <w:pStyle w:val="null3"/>
      </w:pPr>
      <w:r>
        <w:rPr>
          <w:rFonts w:ascii="仿宋_GB2312" w:hAnsi="仿宋_GB2312" w:cs="仿宋_GB2312" w:eastAsia="仿宋_GB2312"/>
        </w:rPr>
        <w:t>地址：陕西省西安市阎良区国家航空高技术产业基地蓝天一路 29号西安航空创新创业园研发楼301-12</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2,536,928.42</w:t>
      </w:r>
    </w:p>
    <w:p>
      <w:pPr>
        <w:pStyle w:val="null3"/>
      </w:pPr>
      <w:r>
        <w:rPr>
          <w:rFonts w:ascii="仿宋_GB2312" w:hAnsi="仿宋_GB2312" w:cs="仿宋_GB2312" w:eastAsia="仿宋_GB2312"/>
        </w:rPr>
        <w:t>采购包最高限价（元）: 2,536,928.42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哑柏镇西大街人居环境综合整治项目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2,536,928.42</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标的名称：哑柏镇西大街人居环境综合整治项目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8"/>
                <w:color w:val="000000"/>
              </w:rPr>
              <w:t>1</w:t>
            </w:r>
            <w:r>
              <w:rPr>
                <w:rFonts w:ascii="仿宋_GB2312" w:hAnsi="仿宋_GB2312" w:cs="仿宋_GB2312" w:eastAsia="仿宋_GB2312"/>
                <w:sz w:val="18"/>
                <w:color w:val="000000"/>
              </w:rPr>
              <w:t>、质量标准：符合国家现行有关施工质量验收规范</w:t>
            </w:r>
            <w:r>
              <w:rPr>
                <w:rFonts w:ascii="仿宋_GB2312" w:hAnsi="仿宋_GB2312" w:cs="仿宋_GB2312" w:eastAsia="仿宋_GB2312"/>
                <w:sz w:val="18"/>
                <w:color w:val="000000"/>
              </w:rPr>
              <w:t>“</w:t>
            </w:r>
            <w:r>
              <w:rPr>
                <w:rFonts w:ascii="仿宋_GB2312" w:hAnsi="仿宋_GB2312" w:cs="仿宋_GB2312" w:eastAsia="仿宋_GB2312"/>
                <w:sz w:val="18"/>
                <w:color w:val="000000"/>
              </w:rPr>
              <w:t>合格</w:t>
            </w:r>
            <w:r>
              <w:rPr>
                <w:rFonts w:ascii="仿宋_GB2312" w:hAnsi="仿宋_GB2312" w:cs="仿宋_GB2312" w:eastAsia="仿宋_GB2312"/>
                <w:sz w:val="18"/>
                <w:color w:val="000000"/>
              </w:rPr>
              <w:t>”</w:t>
            </w:r>
            <w:r>
              <w:rPr>
                <w:rFonts w:ascii="仿宋_GB2312" w:hAnsi="仿宋_GB2312" w:cs="仿宋_GB2312" w:eastAsia="仿宋_GB2312"/>
                <w:sz w:val="18"/>
                <w:color w:val="000000"/>
              </w:rPr>
              <w:t>要求标准</w:t>
            </w:r>
          </w:p>
          <w:p>
            <w:pPr>
              <w:pStyle w:val="null3"/>
            </w:pPr>
            <w:r>
              <w:rPr>
                <w:rFonts w:ascii="仿宋_GB2312" w:hAnsi="仿宋_GB2312" w:cs="仿宋_GB2312" w:eastAsia="仿宋_GB2312"/>
                <w:sz w:val="18"/>
                <w:color w:val="000000"/>
              </w:rPr>
              <w:t>2</w:t>
            </w:r>
            <w:r>
              <w:rPr>
                <w:rFonts w:ascii="仿宋_GB2312" w:hAnsi="仿宋_GB2312" w:cs="仿宋_GB2312" w:eastAsia="仿宋_GB2312"/>
                <w:sz w:val="18"/>
                <w:color w:val="000000"/>
              </w:rPr>
              <w:t>、工期：自合同签订之日起</w:t>
            </w:r>
            <w:r>
              <w:rPr>
                <w:rFonts w:ascii="仿宋_GB2312" w:hAnsi="仿宋_GB2312" w:cs="仿宋_GB2312" w:eastAsia="仿宋_GB2312"/>
                <w:sz w:val="18"/>
                <w:color w:val="000000"/>
              </w:rPr>
              <w:t>60</w:t>
            </w:r>
            <w:r>
              <w:rPr>
                <w:rFonts w:ascii="仿宋_GB2312" w:hAnsi="仿宋_GB2312" w:cs="仿宋_GB2312" w:eastAsia="仿宋_GB2312"/>
                <w:sz w:val="18"/>
                <w:color w:val="000000"/>
              </w:rPr>
              <w:t>日历天</w:t>
            </w:r>
          </w:p>
          <w:p>
            <w:pPr>
              <w:pStyle w:val="null3"/>
            </w:pPr>
            <w:r>
              <w:rPr>
                <w:rFonts w:ascii="仿宋_GB2312" w:hAnsi="仿宋_GB2312" w:cs="仿宋_GB2312" w:eastAsia="仿宋_GB2312"/>
                <w:sz w:val="18"/>
                <w:color w:val="000000"/>
              </w:rPr>
              <w:t>3</w:t>
            </w:r>
            <w:r>
              <w:rPr>
                <w:rFonts w:ascii="仿宋_GB2312" w:hAnsi="仿宋_GB2312" w:cs="仿宋_GB2312" w:eastAsia="仿宋_GB2312"/>
                <w:sz w:val="18"/>
                <w:color w:val="000000"/>
              </w:rPr>
              <w:t>、详见电子招标书和工程量清单</w:t>
            </w:r>
          </w:p>
          <w:p>
            <w:pPr>
              <w:pStyle w:val="null3"/>
            </w:pPr>
            <w:r>
              <w:rPr>
                <w:rFonts w:ascii="仿宋_GB2312" w:hAnsi="仿宋_GB2312" w:cs="仿宋_GB2312" w:eastAsia="仿宋_GB2312"/>
                <w:sz w:val="18"/>
                <w:color w:val="000000"/>
              </w:rPr>
              <w:t>4</w:t>
            </w:r>
            <w:r>
              <w:rPr>
                <w:rFonts w:ascii="仿宋_GB2312" w:hAnsi="仿宋_GB2312" w:cs="仿宋_GB2312" w:eastAsia="仿宋_GB2312"/>
                <w:sz w:val="18"/>
                <w:color w:val="000000"/>
              </w:rPr>
              <w:t>、广联达版本号 7.5000.23.2</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哑柏镇西大街人居环境综合整治项目</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供应商根据项目实施要求对施工部署、施工进度计划、施工方案、质量保证措施、安全文明施工措施、项目管理机构、新材料新工艺、业绩及施工承诺等内容进行响应。具体内容详见项目评审办法。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提供磋商截止日前近一年内任意一个月的纳税证明或完税证明（任意税种），依法免税的单位应提供相关证明材料；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提供磋商截止日前近一年内任意一个月的社会保障资金缴存单据或社保机构开具的社会保险参保缴费情况证明，依法不需要缴纳社会保障资金的单位应提供相关证明材料；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说明及承诺书</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查询相关主体信用记录</w:t>
            </w:r>
          </w:p>
        </w:tc>
        <w:tc>
          <w:tcPr>
            <w:tcW w:type="dxa" w:w="3322"/>
          </w:tcPr>
          <w:p>
            <w:pPr>
              <w:pStyle w:val="null3"/>
            </w:pPr>
            <w:r>
              <w:rPr>
                <w:rFonts w:ascii="仿宋_GB2312" w:hAnsi="仿宋_GB2312" w:cs="仿宋_GB2312" w:eastAsia="仿宋_GB2312"/>
              </w:rPr>
              <w:t>供应商通过“信用中国”网站(www.creditchina.gov.cn)、中国政府采购网(www.ccgp.gov.cn)等查询相关主体信用记录；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具备建设行政部门颁发的市政公用工程施工总承包三级及以上资质，且具有有效的安全生产许可证；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拟派项目经理资质</w:t>
            </w:r>
          </w:p>
        </w:tc>
        <w:tc>
          <w:tcPr>
            <w:tcW w:type="dxa" w:w="3322"/>
          </w:tcPr>
          <w:p>
            <w:pPr>
              <w:pStyle w:val="null3"/>
            </w:pPr>
            <w:r>
              <w:rPr>
                <w:rFonts w:ascii="仿宋_GB2312" w:hAnsi="仿宋_GB2312" w:cs="仿宋_GB2312" w:eastAsia="仿宋_GB2312"/>
              </w:rPr>
              <w:t>拟派项目经理须具有市政公用工程专业二级及以上注册建造师资质并具有安全生产考核合格证，在本单位注册且无在建工程（提供无在建承诺书）；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需提供中小企业声明函；</w:t>
            </w:r>
          </w:p>
        </w:tc>
        <w:tc>
          <w:tcPr>
            <w:tcW w:type="dxa" w:w="1661"/>
          </w:tcPr>
          <w:p>
            <w:pPr>
              <w:pStyle w:val="null3"/>
            </w:pPr>
            <w:r>
              <w:rPr>
                <w:rFonts w:ascii="仿宋_GB2312" w:hAnsi="仿宋_GB2312" w:cs="仿宋_GB2312" w:eastAsia="仿宋_GB2312"/>
              </w:rPr>
              <w:t>供应商应提交的相关资格证明材料.docx 中小企业声明函</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磋商方案说明书.docx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 的规定</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磋商方案说明书.docx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 且报价不超过最高限价</w:t>
            </w:r>
          </w:p>
        </w:tc>
        <w:tc>
          <w:tcPr>
            <w:tcW w:type="dxa" w:w="1661"/>
          </w:tcPr>
          <w:p>
            <w:pPr>
              <w:pStyle w:val="null3"/>
            </w:pPr>
            <w:r>
              <w:rPr>
                <w:rFonts w:ascii="仿宋_GB2312" w:hAnsi="仿宋_GB2312" w:cs="仿宋_GB2312" w:eastAsia="仿宋_GB2312"/>
              </w:rPr>
              <w:t>响应文件封面 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标的清单 技术服务合同条款及其他商务要求应答表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入口管理、交通组织安排、消防及道路安排。 二、评审标准1、完整性：方案必须全面，对评审内容中的各项要求有详细描述；2、可实施性：切合本项目实际情况，提出步骤清晰、合理的方案；3、针对性：方案能够紧扣项目实际情况，内容科学合理。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1、完整性：方案必须全面，对评审内容中的各项要求有详细描述；2、可实施性：切合本项目实际情况，提出步骤清晰 、合理的方案； 3、针对性：方案能够紧扣项目实际情况，内容科学合理。三、赋分标准 （满分9分） ①施工进度计划图：每完全满足一个评审标准得1分，满分3分； ②进度计划保证措施：每完全满足一个评审标准得1分，满分3分； ③工期保证措施：每完全满足一 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 施②工程施工方法③施工质量通病防治措施。 二、评审标准 1、完整性：方案必须全面， 对评审内容中的各项要求有详细描述； 2、可实施性：切合本项目实际情况，提出步骤清晰、合理的方案； 3、针对性：方案能够紧扣项目实际情况，内容科学合理。 三、赋分标准（15分） ①工程重难点及解决措施：每完全满足一个评审标准得2分，满分6分； ②工程施工方法：每完全满足一个评审标准得2分，满分6分； ③施工质量通病防治措施：每 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 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 ，内容科学合理。三、赋分标准（满分6分） ①质量目标管理体系：每完全满足一个评审标准得0.5分，满分1.5分； ②施工质量检验制度：每完全满足一个评审标准得0.5分，满 分1.5分；③确保质量的技术组织措施：每完全满足一个评审标准得0.5分，满分1.5分；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 度②安全文明施工措施③安全应急预案④安全生产教育。 二、评审标准 1、完整性：方案必须全面，对评审内容中的各项要求有详细描述； 2、可实施性：切合本项目实际情况， 提出步骤清晰、合理的方案； 3、针对性：案能够紧扣项目实际情况，内容科学合理。 三、赋分标准（满分6分） ①安全生产管理制度：每完全满足一个评审标准得0.5分，满分1.5分； ②安全文明施工措施：每完全满足一个评审标准得0.5分，满分1.5分； ③安全应急预案：每完全满足一个评审标准得0.5分，满分1.5分； ④安全生产教育：每完全满足 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 计划及管理人员证书②组织机构的岗位职责。 二、评审标准 1、完整性：方案必须全面， 对评审内容中的各项要求有详细述； 2、可实施性：切合本项目实际情况，提出步骤清晰、合理的方案； 3、针对性：方案能够紧扣项目实际情况，内容科学合理。 三、赋分标 准（满分12分） ①管理机构的配备计划：每完全满足一个评审标准得2分，满分6分； ②组织机构的岗位职责：每完全满足一个评审标准得2分，满分6分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供应商提供2022年1月起至今的类似业绩证明材料，时间以合同签订日期为准，（文件中附合同复印件），每提供一项上述业绩的得2分，最高得6分。不提供或缺项不得分。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磋商报价得分=(磋商基准价／最后磋商报价)×价格分值 计算分数时四舍五入取小数点后两位。注：磋商小组三分之二以上人员认为某最后磋商报价有低于成本价嫌疑的，该报价为无效报价。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