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版本号：TYRZ-2025-ZZ08220251127001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周至县自然灾害综合风险普查调查数据更新项目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TYRZ-2025-ZZ082</w:t>
      </w:r>
      <w:r>
        <w:br/>
      </w:r>
      <w:r>
        <w:br/>
      </w:r>
      <w:r>
        <w:br/>
      </w:r>
    </w:p>
    <w:p>
      <w:pPr>
        <w:pStyle w:val="null3"/>
        <w:jc w:val="center"/>
        <w:outlineLvl w:val="2"/>
      </w:pPr>
      <w:r>
        <w:rPr>
          <w:rFonts w:ascii="仿宋_GB2312" w:hAnsi="仿宋_GB2312" w:cs="仿宋_GB2312" w:eastAsia="仿宋_GB2312"/>
          <w:sz w:val="28"/>
          <w:b/>
        </w:rPr>
        <w:t>西安市周至县应急管理局（本级）</w:t>
      </w:r>
    </w:p>
    <w:p>
      <w:pPr>
        <w:pStyle w:val="null3"/>
        <w:jc w:val="center"/>
        <w:outlineLvl w:val="2"/>
      </w:pPr>
      <w:r>
        <w:rPr>
          <w:rFonts w:ascii="仿宋_GB2312" w:hAnsi="仿宋_GB2312" w:cs="仿宋_GB2312" w:eastAsia="仿宋_GB2312"/>
          <w:sz w:val="28"/>
          <w:b/>
        </w:rPr>
        <w:t>天煜荣泽工程咨询有限公司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天煜荣泽工程咨询有限公司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西安市周至县应急管理局（本级）</w:t>
      </w:r>
      <w:r>
        <w:rPr>
          <w:rFonts w:ascii="仿宋_GB2312" w:hAnsi="仿宋_GB2312" w:cs="仿宋_GB2312" w:eastAsia="仿宋_GB2312"/>
        </w:rPr>
        <w:t>委托，拟对</w:t>
      </w:r>
      <w:r>
        <w:rPr>
          <w:rFonts w:ascii="仿宋_GB2312" w:hAnsi="仿宋_GB2312" w:cs="仿宋_GB2312" w:eastAsia="仿宋_GB2312"/>
        </w:rPr>
        <w:t>周至县自然灾害综合风险普查调查数据更新项目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TYRZ-2025-ZZ082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周至县自然灾害综合风险普查调查数据更新项目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周至县自然灾害综合风险普查调查数据更新项目，包含区划底图更新、数据更新、数据质量控制、育前期及总结验等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采购包1（自然灾害综合风险普查调查数据更新）：属于专门面向小微企业采购。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财务报告：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4、税收缴纳证明：投标人须提供2024年11月01日至开标前任意一个月的完税凭证或税务机关开具的完税证明（任意税种），依法免税的应提供相关文件证明；</w:t>
      </w:r>
    </w:p>
    <w:p>
      <w:pPr>
        <w:pStyle w:val="null3"/>
      </w:pPr>
      <w:r>
        <w:rPr>
          <w:rFonts w:ascii="仿宋_GB2312" w:hAnsi="仿宋_GB2312" w:cs="仿宋_GB2312" w:eastAsia="仿宋_GB2312"/>
        </w:rPr>
        <w:t>5、社会保障资金缴纳证明：投标人须提供2024年11月01日至开标前任意一个月的社会保障资金缴存单据或社保机构开具的社会保险参保缴费情况证明，依法不需要缴纳社会保障资金的应提供相关文件证明；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6、具有履行合同所必需的设备和专业技术能力：提供具有履行本合同所必需的设备和专业技术能力的声明；</w:t>
      </w:r>
    </w:p>
    <w:p>
      <w:pPr>
        <w:pStyle w:val="null3"/>
      </w:pPr>
      <w:r>
        <w:rPr>
          <w:rFonts w:ascii="仿宋_GB2312" w:hAnsi="仿宋_GB2312" w:cs="仿宋_GB2312" w:eastAsia="仿宋_GB2312"/>
        </w:rPr>
        <w:t>7、无重大违法记录的书面声明；：出具参加政府采购活动前3年内在经营活动中没有重大违法记录的书面声明；</w:t>
      </w:r>
    </w:p>
    <w:p>
      <w:pPr>
        <w:pStyle w:val="null3"/>
      </w:pPr>
      <w:r>
        <w:rPr>
          <w:rFonts w:ascii="仿宋_GB2312" w:hAnsi="仿宋_GB2312" w:cs="仿宋_GB2312" w:eastAsia="仿宋_GB2312"/>
        </w:rPr>
        <w:t>8、资质要求：具备行政主管部门颁发的乙级（或以上）测绘资质证书；</w:t>
      </w:r>
    </w:p>
    <w:p>
      <w:pPr>
        <w:pStyle w:val="null3"/>
      </w:pPr>
      <w:r>
        <w:rPr>
          <w:rFonts w:ascii="仿宋_GB2312" w:hAnsi="仿宋_GB2312" w:cs="仿宋_GB2312" w:eastAsia="仿宋_GB2312"/>
        </w:rPr>
        <w:t>9、控股、管理关系：磋商单位负责人为同一人或者存在控股、管理关系的不同单位不得同时进行投标；(提供承诺函，格式自拟）</w:t>
      </w:r>
    </w:p>
    <w:p>
      <w:pPr>
        <w:pStyle w:val="null3"/>
      </w:pPr>
      <w:r>
        <w:rPr>
          <w:rFonts w:ascii="仿宋_GB2312" w:hAnsi="仿宋_GB2312" w:cs="仿宋_GB2312" w:eastAsia="仿宋_GB2312"/>
        </w:rPr>
        <w:t>10、“信用中国”网站和“中国政府采购网”查询截图：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rFonts w:ascii="仿宋_GB2312" w:hAnsi="仿宋_GB2312" w:cs="仿宋_GB2312" w:eastAsia="仿宋_GB2312"/>
        </w:rPr>
        <w:t>11、无联合体投标：本项目不接受联合体磋商。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周至县瑞光路90号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西安市周至县应急管理局（本级）经办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13636718167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天煜荣泽工程咨询有限公司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陕西省西安市雁塔区陕西省西安市雁塔区太白南路天地源悦熙广场1幢1单元1606室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张晋通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17719501789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采购包1：545,790.00元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采购代理服务费以成交金额为基础，参照《国家计委关于印发招标代理服务收费管理暂行办法的通知》（计价格〔2002〕1980号）和国家发改委办公厅颁发的《关于招标代理服务收费有关问题的通知》（发改办价格〔2003〕857号）文件规定标准计算收取。2.上述费用由成交供应商在领取中标通知书前向招标代理机构一次性付清。 3、代理服务费缴纳账户信息： 开户行名称:中国建设银行股份有限公司西安云顶园小区支行 开户名称：天煜荣泽工程咨询有限公司西安高新分公司 账 号：61050172004200000952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西安市周至县应急管理局（本级）</w:t>
      </w:r>
      <w:r>
        <w:rPr>
          <w:rFonts w:ascii="仿宋_GB2312" w:hAnsi="仿宋_GB2312" w:cs="仿宋_GB2312" w:eastAsia="仿宋_GB2312"/>
        </w:rPr>
        <w:t>和</w:t>
      </w:r>
      <w:r>
        <w:rPr>
          <w:rFonts w:ascii="仿宋_GB2312" w:hAnsi="仿宋_GB2312" w:cs="仿宋_GB2312" w:eastAsia="仿宋_GB2312"/>
        </w:rPr>
        <w:t>天煜荣泽工程咨询有限公司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天煜荣泽工程咨询有限公司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天煜荣泽工程咨询有限公司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联系人：张晋通</w:t>
      </w:r>
    </w:p>
    <w:p>
      <w:pPr>
        <w:pStyle w:val="null3"/>
      </w:pPr>
      <w:r>
        <w:rPr>
          <w:rFonts w:ascii="仿宋_GB2312" w:hAnsi="仿宋_GB2312" w:cs="仿宋_GB2312" w:eastAsia="仿宋_GB2312"/>
        </w:rPr>
        <w:t>联系电话：17719501789</w:t>
      </w:r>
    </w:p>
    <w:p>
      <w:pPr>
        <w:pStyle w:val="null3"/>
      </w:pPr>
      <w:r>
        <w:rPr>
          <w:rFonts w:ascii="仿宋_GB2312" w:hAnsi="仿宋_GB2312" w:cs="仿宋_GB2312" w:eastAsia="仿宋_GB2312"/>
        </w:rPr>
        <w:t>地址：西安市周至县二曲街道丰达四季城南新仁义南巷南排18号天煜荣泽工程咨询有限公司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周至县自然灾害综合风险普查调查数据更新项目，包含区划底图更新、数据更新、数据质量控制、育前期及总结验等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545,790.00</w:t>
      </w:r>
    </w:p>
    <w:p>
      <w:pPr>
        <w:pStyle w:val="null3"/>
      </w:pPr>
      <w:r>
        <w:rPr>
          <w:rFonts w:ascii="仿宋_GB2312" w:hAnsi="仿宋_GB2312" w:cs="仿宋_GB2312" w:eastAsia="仿宋_GB2312"/>
        </w:rPr>
        <w:t>采购包最高限价（元）: 545,790.00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自然灾害综合风险普查调查数据更新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545,790.00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标的名称：自然灾害综合风险普查调查数据更新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77"/>
              <w:gridCol w:w="174"/>
              <w:gridCol w:w="351"/>
              <w:gridCol w:w="1481"/>
              <w:gridCol w:w="181"/>
              <w:gridCol w:w="188"/>
            </w:tblGrid>
            <w:tr>
              <w:tc>
                <w:tcPr>
                  <w:tcW w:type="dxa" w:w="1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序号</w:t>
                  </w:r>
                </w:p>
              </w:tc>
              <w:tc>
                <w:tcPr>
                  <w:tcW w:type="dxa" w:w="2006"/>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b/>
                      <w:color w:val="000000"/>
                    </w:rPr>
                    <w:t>任务内容</w:t>
                  </w:r>
                </w:p>
              </w:tc>
              <w:tc>
                <w:tcPr>
                  <w:tcW w:type="dxa" w:w="1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数量</w:t>
                  </w:r>
                </w:p>
              </w:tc>
              <w:tc>
                <w:tcPr>
                  <w:tcW w:type="dxa" w:w="1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单位</w:t>
                  </w:r>
                </w:p>
              </w:tc>
            </w:tr>
            <w:tr>
              <w:tc>
                <w:tcPr>
                  <w:tcW w:type="dxa" w:w="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1</w:t>
                  </w:r>
                </w:p>
              </w:tc>
              <w:tc>
                <w:tcPr>
                  <w:tcW w:type="dxa" w:w="52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方案编制</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both"/>
                  </w:pPr>
                  <w:r>
                    <w:rPr>
                      <w:rFonts w:ascii="仿宋_GB2312" w:hAnsi="仿宋_GB2312" w:cs="仿宋_GB2312" w:eastAsia="仿宋_GB2312"/>
                      <w:sz w:val="24"/>
                      <w:color w:val="000000"/>
                    </w:rPr>
                    <w:t>结合</w:t>
                  </w:r>
                  <w:r>
                    <w:rPr>
                      <w:rFonts w:ascii="仿宋_GB2312" w:hAnsi="仿宋_GB2312" w:cs="仿宋_GB2312" w:eastAsia="仿宋_GB2312"/>
                      <w:sz w:val="24"/>
                      <w:color w:val="000000"/>
                    </w:rPr>
                    <w:t>周至</w:t>
                  </w:r>
                  <w:r>
                    <w:rPr>
                      <w:rFonts w:ascii="仿宋_GB2312" w:hAnsi="仿宋_GB2312" w:cs="仿宋_GB2312" w:eastAsia="仿宋_GB2312"/>
                      <w:sz w:val="24"/>
                      <w:color w:val="000000"/>
                    </w:rPr>
                    <w:t>县实际，编制《</w:t>
                  </w:r>
                  <w:r>
                    <w:rPr>
                      <w:rFonts w:ascii="仿宋_GB2312" w:hAnsi="仿宋_GB2312" w:cs="仿宋_GB2312" w:eastAsia="仿宋_GB2312"/>
                      <w:sz w:val="24"/>
                      <w:color w:val="000000"/>
                    </w:rPr>
                    <w:t>周至</w:t>
                  </w:r>
                  <w:r>
                    <w:rPr>
                      <w:rFonts w:ascii="仿宋_GB2312" w:hAnsi="仿宋_GB2312" w:cs="仿宋_GB2312" w:eastAsia="仿宋_GB2312"/>
                      <w:sz w:val="24"/>
                      <w:color w:val="000000"/>
                    </w:rPr>
                    <w:t>县</w:t>
                  </w:r>
                  <w:r>
                    <w:rPr>
                      <w:rFonts w:ascii="仿宋_GB2312" w:hAnsi="仿宋_GB2312" w:cs="仿宋_GB2312" w:eastAsia="仿宋_GB2312"/>
                      <w:sz w:val="24"/>
                      <w:color w:val="000000"/>
                    </w:rPr>
                    <w:t>2024年自然灾害综合风险普查数据更新方案》，进一步明确普查数据更新部门分工、任务内容、时间节点、质量控制、成果汇交等工作要求。</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r>
            <w:tr>
              <w:tc>
                <w:tcPr>
                  <w:tcW w:type="dxa" w:w="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color w:val="000000"/>
                    </w:rPr>
                    <w:t>2</w:t>
                  </w:r>
                </w:p>
              </w:tc>
              <w:tc>
                <w:tcPr>
                  <w:tcW w:type="dxa" w:w="52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技术培训</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4"/>
                    <w:jc w:val="both"/>
                  </w:pPr>
                  <w:r>
                    <w:rPr>
                      <w:rFonts w:ascii="仿宋_GB2312" w:hAnsi="仿宋_GB2312" w:cs="仿宋_GB2312" w:eastAsia="仿宋_GB2312"/>
                      <w:sz w:val="24"/>
                      <w:color w:val="000000"/>
                    </w:rPr>
                    <w:t>围绕调查对象与内容，结合常态化普查数据更新工作方案和工作标准，制定培训材料，邀请培训讲师对参与此次普查的各行业主管部门、街道负责人开展现场培训，重点讲解本次普查任务内容、普查流程、普查系统数据更新操作流程及相关注意事项等。</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r>
            <w:tr>
              <w:tc>
                <w:tcPr>
                  <w:tcW w:type="dxa" w:w="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color w:val="000000"/>
                    </w:rPr>
                    <w:t>3</w:t>
                  </w:r>
                </w:p>
              </w:tc>
              <w:tc>
                <w:tcPr>
                  <w:tcW w:type="dxa" w:w="52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区划底图更新</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both"/>
                  </w:pPr>
                  <w:r>
                    <w:rPr>
                      <w:rFonts w:ascii="仿宋_GB2312" w:hAnsi="仿宋_GB2312" w:cs="仿宋_GB2312" w:eastAsia="仿宋_GB2312"/>
                      <w:sz w:val="24"/>
                      <w:color w:val="000000"/>
                    </w:rPr>
                    <w:t>对辖区内相关信息进行核对、调整，形成全国行政区划底图</w:t>
                  </w:r>
                  <w:r>
                    <w:rPr>
                      <w:rFonts w:ascii="仿宋_GB2312" w:hAnsi="仿宋_GB2312" w:cs="仿宋_GB2312" w:eastAsia="仿宋_GB2312"/>
                      <w:sz w:val="24"/>
                      <w:color w:val="000000"/>
                    </w:rPr>
                    <w:t>(2023版)，县域面积2974平方千米</w:t>
                  </w:r>
                  <w:r>
                    <w:rPr>
                      <w:rFonts w:ascii="仿宋_GB2312" w:hAnsi="仿宋_GB2312" w:cs="仿宋_GB2312" w:eastAsia="仿宋_GB2312"/>
                      <w:sz w:val="24"/>
                      <w:color w:val="000000"/>
                    </w:rPr>
                    <w:t>。</w:t>
                  </w:r>
                </w:p>
                <w:p>
                  <w:pPr>
                    <w:pStyle w:val="null3"/>
                    <w:ind w:firstLine="3"/>
                    <w:jc w:val="both"/>
                  </w:pPr>
                  <w:r>
                    <w:rPr>
                      <w:rFonts w:ascii="仿宋_GB2312" w:hAnsi="仿宋_GB2312" w:cs="仿宋_GB2312" w:eastAsia="仿宋_GB2312"/>
                      <w:sz w:val="24"/>
                      <w:color w:val="000000"/>
                    </w:rPr>
                    <w:t>开展调查区划申请、认定以及绘制等相关工作，形成本辖区调查区划。（包含集贤镇和九峰镇）</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7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color w:val="000000"/>
                    </w:rPr>
                    <w:t>4</w:t>
                  </w:r>
                </w:p>
              </w:tc>
              <w:tc>
                <w:tcPr>
                  <w:tcW w:type="dxa" w:w="1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应急管理系统普查数据更新</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前期成</w:t>
                  </w:r>
                  <w:r>
                    <w:rPr>
                      <w:rFonts w:ascii="仿宋_GB2312" w:hAnsi="仿宋_GB2312" w:cs="仿宋_GB2312" w:eastAsia="仿宋_GB2312"/>
                      <w:sz w:val="24"/>
                      <w:color w:val="000000"/>
                    </w:rPr>
                    <w:t>果数据</w:t>
                  </w:r>
                  <w:r>
                    <w:rPr>
                      <w:rFonts w:ascii="仿宋_GB2312" w:hAnsi="仿宋_GB2312" w:cs="仿宋_GB2312" w:eastAsia="仿宋_GB2312"/>
                      <w:sz w:val="24"/>
                      <w:color w:val="000000"/>
                    </w:rPr>
                    <w:t>梳理</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按照数据更新需求，分类别、部门、乡镇（街道）完成</w:t>
                  </w:r>
                  <w:r>
                    <w:rPr>
                      <w:rFonts w:ascii="仿宋_GB2312" w:hAnsi="仿宋_GB2312" w:cs="仿宋_GB2312" w:eastAsia="仿宋_GB2312"/>
                      <w:sz w:val="24"/>
                      <w:color w:val="000000"/>
                    </w:rPr>
                    <w:t>2021年应急管理系统普查调查对象填报指标信息、点面信息、现场核查信息等前期成果数据梳理。</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r>
            <w:tr>
              <w:tc>
                <w:tcPr>
                  <w:tcW w:type="dxa" w:w="177"/>
                  <w:vMerge/>
                  <w:tcBorders>
                    <w:top w:val="none" w:color="000000" w:sz="4"/>
                    <w:left w:val="single" w:color="000000" w:sz="4"/>
                    <w:bottom w:val="single" w:color="000000" w:sz="4"/>
                    <w:right w:val="single" w:color="000000" w:sz="4"/>
                  </w:tcBorders>
                </w:tcPr>
                <w:p/>
              </w:tc>
              <w:tc>
                <w:tcPr>
                  <w:tcW w:type="dxa" w:w="174"/>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调查对</w:t>
                  </w:r>
                  <w:r>
                    <w:rPr>
                      <w:rFonts w:ascii="仿宋_GB2312" w:hAnsi="仿宋_GB2312" w:cs="仿宋_GB2312" w:eastAsia="仿宋_GB2312"/>
                      <w:sz w:val="24"/>
                      <w:color w:val="000000"/>
                    </w:rPr>
                    <w:t>象名录</w:t>
                  </w:r>
                  <w:r>
                    <w:rPr>
                      <w:rFonts w:ascii="仿宋_GB2312" w:hAnsi="仿宋_GB2312" w:cs="仿宋_GB2312" w:eastAsia="仿宋_GB2312"/>
                      <w:sz w:val="24"/>
                      <w:color w:val="000000"/>
                    </w:rPr>
                    <w:t>更新</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
                    <w:jc w:val="both"/>
                  </w:pPr>
                  <w:r>
                    <w:rPr>
                      <w:rFonts w:ascii="仿宋_GB2312" w:hAnsi="仿宋_GB2312" w:cs="仿宋_GB2312" w:eastAsia="仿宋_GB2312"/>
                      <w:sz w:val="24"/>
                      <w:color w:val="000000"/>
                    </w:rPr>
                    <w:t>基于</w:t>
                  </w:r>
                  <w:r>
                    <w:rPr>
                      <w:rFonts w:ascii="仿宋_GB2312" w:hAnsi="仿宋_GB2312" w:cs="仿宋_GB2312" w:eastAsia="仿宋_GB2312"/>
                      <w:sz w:val="24"/>
                      <w:color w:val="000000"/>
                    </w:rPr>
                    <w:t>2021年应急管理系统普查调查对象名录信息，会同有关行业部门对应急管理系统调查对象名录进行核对更新，形成</w:t>
                  </w:r>
                  <w:r>
                    <w:rPr>
                      <w:rFonts w:ascii="仿宋_GB2312" w:hAnsi="仿宋_GB2312" w:cs="仿宋_GB2312" w:eastAsia="仿宋_GB2312"/>
                      <w:sz w:val="24"/>
                      <w:color w:val="000000"/>
                    </w:rPr>
                    <w:t>周至</w:t>
                  </w:r>
                  <w:r>
                    <w:rPr>
                      <w:rFonts w:ascii="仿宋_GB2312" w:hAnsi="仿宋_GB2312" w:cs="仿宋_GB2312" w:eastAsia="仿宋_GB2312"/>
                      <w:sz w:val="24"/>
                      <w:color w:val="000000"/>
                    </w:rPr>
                    <w:t>县</w:t>
                  </w:r>
                  <w:r>
                    <w:rPr>
                      <w:rFonts w:ascii="仿宋_GB2312" w:hAnsi="仿宋_GB2312" w:cs="仿宋_GB2312" w:eastAsia="仿宋_GB2312"/>
                      <w:sz w:val="24"/>
                      <w:color w:val="000000"/>
                    </w:rPr>
                    <w:t>202</w:t>
                  </w:r>
                  <w:r>
                    <w:rPr>
                      <w:rFonts w:ascii="仿宋_GB2312" w:hAnsi="仿宋_GB2312" w:cs="仿宋_GB2312" w:eastAsia="仿宋_GB2312"/>
                      <w:sz w:val="24"/>
                      <w:color w:val="000000"/>
                    </w:rPr>
                    <w:t>4</w:t>
                  </w:r>
                  <w:r>
                    <w:rPr>
                      <w:rFonts w:ascii="仿宋_GB2312" w:hAnsi="仿宋_GB2312" w:cs="仿宋_GB2312" w:eastAsia="仿宋_GB2312"/>
                      <w:sz w:val="24"/>
                      <w:color w:val="000000"/>
                    </w:rPr>
                    <w:t>年应急管理系统调查对象名录。</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r>
            <w:tr>
              <w:tc>
                <w:tcPr>
                  <w:tcW w:type="dxa" w:w="177"/>
                  <w:vMerge/>
                  <w:tcBorders>
                    <w:top w:val="none" w:color="000000" w:sz="4"/>
                    <w:left w:val="single" w:color="000000" w:sz="4"/>
                    <w:bottom w:val="single" w:color="000000" w:sz="4"/>
                    <w:right w:val="single" w:color="000000" w:sz="4"/>
                  </w:tcBorders>
                </w:tcPr>
                <w:p/>
              </w:tc>
              <w:tc>
                <w:tcPr>
                  <w:tcW w:type="dxa" w:w="174"/>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属性指标更新</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对于有较大变化的调查对象，参照技术规范补充、更新其全部指标；对于取消的调查对象，需进行删减；对变化不大的调查对象，参照规范对</w:t>
                  </w:r>
                  <w:r>
                    <w:rPr>
                      <w:rFonts w:ascii="仿宋_GB2312" w:hAnsi="仿宋_GB2312" w:cs="仿宋_GB2312" w:eastAsia="仿宋_GB2312"/>
                      <w:sz w:val="24"/>
                      <w:color w:val="000000"/>
                    </w:rPr>
                    <w:t>“更新指标”进行更新。</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r>
            <w:tr>
              <w:tc>
                <w:tcPr>
                  <w:tcW w:type="dxa" w:w="177"/>
                  <w:vMerge/>
                  <w:tcBorders>
                    <w:top w:val="none" w:color="000000" w:sz="4"/>
                    <w:left w:val="single" w:color="000000" w:sz="4"/>
                    <w:bottom w:val="single" w:color="000000" w:sz="4"/>
                    <w:right w:val="single" w:color="000000" w:sz="4"/>
                  </w:tcBorders>
                </w:tcPr>
                <w:p/>
              </w:tc>
              <w:tc>
                <w:tcPr>
                  <w:tcW w:type="dxa" w:w="174"/>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新增对</w:t>
                  </w:r>
                  <w:r>
                    <w:rPr>
                      <w:rFonts w:ascii="仿宋_GB2312" w:hAnsi="仿宋_GB2312" w:cs="仿宋_GB2312" w:eastAsia="仿宋_GB2312"/>
                      <w:sz w:val="24"/>
                      <w:color w:val="000000"/>
                    </w:rPr>
                    <w:t>象调查</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针对新增的调查对象，需按照技术规范要求进行补充调查，更新全部属性指标，并</w:t>
                  </w:r>
                  <w:r>
                    <w:rPr>
                      <w:rFonts w:ascii="仿宋_GB2312" w:hAnsi="仿宋_GB2312" w:cs="仿宋_GB2312" w:eastAsia="仿宋_GB2312"/>
                      <w:sz w:val="24"/>
                      <w:color w:val="000000"/>
                    </w:rPr>
                    <w:t>录入</w:t>
                  </w:r>
                  <w:r>
                    <w:rPr>
                      <w:rFonts w:ascii="仿宋_GB2312" w:hAnsi="仿宋_GB2312" w:cs="仿宋_GB2312" w:eastAsia="仿宋_GB2312"/>
                      <w:sz w:val="24"/>
                      <w:color w:val="000000"/>
                    </w:rPr>
                    <w:t>系统内</w:t>
                  </w:r>
                  <w:r>
                    <w:rPr>
                      <w:rFonts w:ascii="仿宋_GB2312" w:hAnsi="仿宋_GB2312" w:cs="仿宋_GB2312" w:eastAsia="仿宋_GB2312"/>
                      <w:sz w:val="24"/>
                      <w:color w:val="000000"/>
                    </w:rPr>
                    <w:t>。</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r>
            <w:tr>
              <w:tc>
                <w:tcPr>
                  <w:tcW w:type="dxa" w:w="17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color w:val="000000"/>
                    </w:rPr>
                    <w:t>5</w:t>
                  </w:r>
                </w:p>
              </w:tc>
              <w:tc>
                <w:tcPr>
                  <w:tcW w:type="dxa" w:w="1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数据质检与核查</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内业质检</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针对成果数据的填写规范性、数据异常值、字段逻辑关系及数据准确性等进行质量审核，确保数据完整、真实、准确、规范和有效。数据质检通过软件和人工方式开展。</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r>
            <w:tr>
              <w:tc>
                <w:tcPr>
                  <w:tcW w:type="dxa" w:w="177"/>
                  <w:vMerge/>
                  <w:tcBorders>
                    <w:top w:val="none" w:color="000000" w:sz="4"/>
                    <w:left w:val="single" w:color="000000" w:sz="4"/>
                    <w:bottom w:val="single" w:color="000000" w:sz="4"/>
                    <w:right w:val="single" w:color="000000" w:sz="4"/>
                  </w:tcBorders>
                </w:tcPr>
                <w:p/>
              </w:tc>
              <w:tc>
                <w:tcPr>
                  <w:tcW w:type="dxa" w:w="174"/>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外业核查</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both"/>
                  </w:pPr>
                  <w:r>
                    <w:rPr>
                      <w:rFonts w:ascii="仿宋_GB2312" w:hAnsi="仿宋_GB2312" w:cs="仿宋_GB2312" w:eastAsia="仿宋_GB2312"/>
                      <w:sz w:val="24"/>
                      <w:color w:val="000000"/>
                    </w:rPr>
                    <w:t>外业核查工作按照《应急管理系统调查成果质检核查技术细则》执行。其中，对于质检过程中的不确定数据，通过外业核查，核实数据的真实性和准确性；对于新增调查对象，进行</w:t>
                  </w:r>
                  <w:r>
                    <w:rPr>
                      <w:rFonts w:ascii="仿宋_GB2312" w:hAnsi="仿宋_GB2312" w:cs="仿宋_GB2312" w:eastAsia="仿宋_GB2312"/>
                      <w:sz w:val="24"/>
                      <w:color w:val="000000"/>
                    </w:rPr>
                    <w:t>100%外业核查（核查人员到达现场通过资料比对、现场问询、实地查看等方式核对数据空间位置及属性信息的真实性与准确性）。</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r>
            <w:tr>
              <w:tc>
                <w:tcPr>
                  <w:tcW w:type="dxa" w:w="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color w:val="000000"/>
                    </w:rPr>
                    <w:t>6</w:t>
                  </w:r>
                </w:p>
              </w:tc>
              <w:tc>
                <w:tcPr>
                  <w:tcW w:type="dxa" w:w="52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调度配合</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
                    <w:jc w:val="left"/>
                  </w:pPr>
                  <w:r>
                    <w:rPr>
                      <w:rFonts w:ascii="仿宋_GB2312" w:hAnsi="仿宋_GB2312" w:cs="仿宋_GB2312" w:eastAsia="仿宋_GB2312"/>
                      <w:sz w:val="24"/>
                      <w:color w:val="000000"/>
                    </w:rPr>
                    <w:t>汇总全县应急管理系统普查数据更新成果，通过调查系统逐级上报，配合做好普查成果数据的完善和修正工作。</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r>
            <w:tr>
              <w:tc>
                <w:tcPr>
                  <w:tcW w:type="dxa" w:w="17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color w:val="000000"/>
                    </w:rPr>
                    <w:t>7</w:t>
                  </w:r>
                </w:p>
              </w:tc>
              <w:tc>
                <w:tcPr>
                  <w:tcW w:type="dxa" w:w="1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成果总结分析</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成果总结</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编制常态化普查总结报告，对常态化</w:t>
                  </w:r>
                  <w:r>
                    <w:rPr>
                      <w:rFonts w:ascii="仿宋_GB2312" w:hAnsi="仿宋_GB2312" w:cs="仿宋_GB2312" w:eastAsia="仿宋_GB2312"/>
                      <w:sz w:val="24"/>
                      <w:color w:val="000000"/>
                    </w:rPr>
                    <w:t>数据更新</w:t>
                  </w:r>
                  <w:r>
                    <w:rPr>
                      <w:rFonts w:ascii="仿宋_GB2312" w:hAnsi="仿宋_GB2312" w:cs="仿宋_GB2312" w:eastAsia="仿宋_GB2312"/>
                      <w:sz w:val="24"/>
                      <w:color w:val="000000"/>
                    </w:rPr>
                    <w:t>工作进行全面的总结分析。</w:t>
                  </w:r>
                </w:p>
              </w:tc>
              <w:tc>
                <w:tcPr>
                  <w:tcW w:type="dxa" w:w="1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8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r>
            <w:tr>
              <w:tc>
                <w:tcPr>
                  <w:tcW w:type="dxa" w:w="177"/>
                  <w:vMerge/>
                  <w:tcBorders>
                    <w:top w:val="none" w:color="000000" w:sz="4"/>
                    <w:left w:val="single" w:color="000000" w:sz="4"/>
                    <w:bottom w:val="single" w:color="000000" w:sz="4"/>
                    <w:right w:val="single" w:color="000000" w:sz="4"/>
                  </w:tcBorders>
                </w:tcPr>
                <w:p/>
              </w:tc>
              <w:tc>
                <w:tcPr>
                  <w:tcW w:type="dxa" w:w="174"/>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评审验收</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做好项目评审、验收等工作。</w:t>
                  </w:r>
                </w:p>
              </w:tc>
              <w:tc>
                <w:tcPr>
                  <w:tcW w:type="dxa" w:w="181"/>
                  <w:vMerge/>
                  <w:tcBorders>
                    <w:top w:val="none" w:color="000000" w:sz="4"/>
                    <w:left w:val="single" w:color="000000" w:sz="4"/>
                    <w:bottom w:val="single" w:color="000000" w:sz="4"/>
                    <w:right w:val="single" w:color="000000" w:sz="4"/>
                  </w:tcBorders>
                </w:tcPr>
                <w:p/>
              </w:tc>
              <w:tc>
                <w:tcPr>
                  <w:tcW w:type="dxa" w:w="188"/>
                  <w:vMerge/>
                  <w:tcBorders>
                    <w:top w:val="singl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按项目服务要求，组织项目实施与管理，建立以项目负责人和技术负责人为核心的项目部，实行项目经理（项目负责人）负责制，其他相关人员经过严格培训，能够胜任此项工作。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按项目服务要求，投入有利于本项目顺利实施的各类设施设备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按采购人要求完成项目服务内容及项目交付，并达到采购人验收要求，达到国家现行法律法规及行业要求合格标准。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合同签订后，达到付款条件起30日内，支付合同总金额的50.00%；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待项目完成且达到采购人要求后，达到付款条件起30日内，支付合同总金额的50.00%；乙方须向甲方出具合法有效的完税发票，甲方进行支付结算。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一、成交供应商在领取成交通知书时提供纸质版响应文件3套，一正两副。应通过专用制作软件直接打印，确保与电子投标文件保持 一致，不允许修改和补充。提交地点：西安市周至县二曲街道丰达四季城南新仁义南巷南排18号天煜荣泽工程咨询有限公司。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七、签名是指手写签名或者加盖姓名章(含电子签名或电子印章)，盖章是指加盖单位印章。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投标人须提供2024年11月01日至开标前任意一个月的完税凭证或税务机关开具的完税证明（任意税种），依法免税的应提供相关文件证明；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投标人须提供2024年11月01日至开标前任意一个月的社会保障资金缴存单据或社保机构开具的社会保险参保缴费情况证明，依法不需要缴纳社会保障资金的应提供相关文件证明；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具备行政主管部门颁发的乙级（或以上）测绘资质证书；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磋商单位负责人为同一人或者存在控股、管理关系的不同单位不得同时进行投标；(提供承诺函，格式自拟）</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“信用中国”网站和“中国政府采购网”查询截图</w:t>
            </w:r>
          </w:p>
        </w:tc>
        <w:tc>
          <w:tcPr>
            <w:tcW w:type="dxa" w:w="3322"/>
          </w:tcPr>
          <w:p>
            <w:pPr>
              <w:pStyle w:val="null3"/>
            </w:pPr>
            <w:r>
              <w:rPr>
                <w:rFonts w:ascii="仿宋_GB2312" w:hAnsi="仿宋_GB2312" w:cs="仿宋_GB2312" w:eastAsia="仿宋_GB2312"/>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对本项目的实施背景、实施目的、实施意义等具备充分的认识。 ①对本项目的总体认识定位准确，理解深刻，表述清晰，对项目实施的重点、难点把握精准得10分；②对本项目的总体认识定位较准确，理解较清晰，对项目实施的重点、难点把握较准确得8分；③对本项目的总体认识定位基本准确，基本理解项目，表述一般，对项目实施的重点、难点认识一般得6分；④总体认识定位不准确，表述不清晰，但内容均围绕项目展开得4分；⑤提供了需求理解分析，但内容简单，与项目关联度不大得2分；⑥此项未提供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提供本项目数据库运维及成果应用总体方案，方案包括但不限于运维方案、成果应用方案。①方案完整全面、科学合理、可操作性强，完全满足采购人需求得10分；②方案全面，可操作性较强，基本满足采购人需求得8分；③方案基本完善，可操作性一般得6分；④方案简单，内容空泛得4分；⑤方案内容有缺漏，不能满足采购人需求得2分；⑥此项未提供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提供针对本项目的工作质量控制方案。①方案结合本项目实际情况、组织合理高效，完全能够确保成果质量并进行提升得8分；②方案结合本项目实际情况、有一定组织性，基本能够确保成果质量并进行提升得6分；③方案有一定针对性，但欠缺项目组织，内容简单，无法确保成果质量得4分；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提供针对本项目的工作进度控制方案，包括但不限于：全过程工作计划、时间节点安排、保证措施等。①方案条理清晰，进度合理，措施完善可行性强，完全能够确保服务时限得8分；②方案条理较清晰，进度安排较合理，措施有一定可行性，基本能够确保服务时限得6分；③方案有一定针对性，进度安排无具体节点规划，无法确保服务期限得4分；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针对项目实施过程中可能出现的突发事件提供应急预案。应急预案全面，处理保障措施完善，有明确的应急机制，应急响应时间合理、人员保证充分，设施设备调配科学，处置方案有针对性。①应急预案全面详细、可操作性和针对性强得6分；②应急预案基本全面和可操作性、针对性得4分；③方案内容简单笼统，无针对性得2分；④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风险管理措施方案</w:t>
            </w:r>
          </w:p>
        </w:tc>
        <w:tc>
          <w:tcPr>
            <w:tcW w:type="dxa" w:w="2492"/>
          </w:tcPr>
          <w:p>
            <w:pPr>
              <w:pStyle w:val="null3"/>
            </w:pPr>
            <w:r>
              <w:rPr>
                <w:rFonts w:ascii="仿宋_GB2312" w:hAnsi="仿宋_GB2312" w:cs="仿宋_GB2312" w:eastAsia="仿宋_GB2312"/>
              </w:rPr>
              <w:t>根据供应商提供的风险管理措施方案内容的完整性进行综合比较评分。①方案内容详细、合理得6分；②方案内容基本合理得4分；③方案内容不完善，内容欠缺得2分；④此项未提供者不计分。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数据管理措施方案</w:t>
            </w:r>
          </w:p>
        </w:tc>
        <w:tc>
          <w:tcPr>
            <w:tcW w:type="dxa" w:w="2492"/>
          </w:tcPr>
          <w:p>
            <w:pPr>
              <w:pStyle w:val="null3"/>
            </w:pPr>
            <w:r>
              <w:rPr>
                <w:rFonts w:ascii="仿宋_GB2312" w:hAnsi="仿宋_GB2312" w:cs="仿宋_GB2312" w:eastAsia="仿宋_GB2312"/>
              </w:rPr>
              <w:t>①对项目需求完全理解，数据安全管理体系制度健全，项目数据管理措施完整得当，符合国家要求和项目需要，可以完全实现数据快速交付，并提供详细、可行的技术方案的得6分；②对项目需求基本理解、基本实现数据的快速交付，有相关保密制度，项目保密措施基本完整，技术方案较详细、基本可行的得4分；③对项目需求初步理解、提供技术方案有缺项或与本项目不相适应的得2分；④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重点、难点分析与合理化建议</w:t>
            </w:r>
          </w:p>
        </w:tc>
        <w:tc>
          <w:tcPr>
            <w:tcW w:type="dxa" w:w="2492"/>
          </w:tcPr>
          <w:p>
            <w:pPr>
              <w:pStyle w:val="null3"/>
            </w:pPr>
            <w:r>
              <w:rPr>
                <w:rFonts w:ascii="仿宋_GB2312" w:hAnsi="仿宋_GB2312" w:cs="仿宋_GB2312" w:eastAsia="仿宋_GB2312"/>
              </w:rPr>
              <w:t>有针对本项目重难点的分析、应对措施及其他针对本项目的合理化建议。①内容完整、详细，可实施性强得8分；②分析建议基本完整、内容一般得5分；③分析建议不全面、内容较差得2分；④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有针对本项目的相关服务承诺（包含人员到位承诺、服务响应时间及其他实质性承诺）。①承诺内容合理、可行得8分；②承诺内容基本合理、可行得5分；③承诺内容欠缺，得2分；④此项未提供者不计分。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拟派项目技术负责人具有主持自然灾害综合风险普查或国家调查类项目经验，且具有测绘、规划、地理信息、地质、水利、减灾、工程建设（任选其一）等相关专业副高级及以上职称且同时具有注册测绘师证书得5分，未提供或提供不全不得分。 提供职称证书扫描件及2024年11月以来任意1个月的社保证明。提供不全或未提供者不计分。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拟派技术负责人</w:t>
            </w:r>
          </w:p>
        </w:tc>
        <w:tc>
          <w:tcPr>
            <w:tcW w:type="dxa" w:w="2492"/>
          </w:tcPr>
          <w:p>
            <w:pPr>
              <w:pStyle w:val="null3"/>
            </w:pPr>
            <w:r>
              <w:rPr>
                <w:rFonts w:ascii="仿宋_GB2312" w:hAnsi="仿宋_GB2312" w:cs="仿宋_GB2312" w:eastAsia="仿宋_GB2312"/>
              </w:rPr>
              <w:t>拟派技术负责人：(不含项目负责人)拟派项目经理具有主持自然灾害综合风险普查或国家调查类项目经验，且具有测绘、地质、水利、减灾、工程建设(任选其一)等相关专业副高级及以上职称且同时具有注册测绘师证书得5分，未提供或提供不全不得分。 提供职称证书扫描件及2024年11月以来任意1个月的社保证明。提供不全或未提供者不计分。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项目组成员：(不含项目负责人、技术负责人)具有测绘地理信息类中级及以上职称，中级职称每提供1人得1分，高级职称每提供1人得2分满分5分，未提供或提供不全不得分。 提供职称证书扫描件及2024年11月以来任意1个月的社保证明。提供不全或未提供者不计分。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提供2022年1月1日至今普查或调查类项目业绩，每个业绩计 1 分，满分 5 分。（业绩资料提供合同复印件，复印件加盖公章。以合同签订日期为准。）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磋商评审价为磋商基准价，其磋商报价为满分。供应商的磋商报价得分，统一按照下列公式计算：磋商评审价=磋商报价×（1-磋商报价扣除幅度），磋商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