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版本号：2025-ZYD-ZB-03620251212001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2025年度省级林业产业发展核桃低产林改造补助项目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2025-ZYD-ZB-036</w:t>
      </w:r>
      <w:r>
        <w:br/>
      </w:r>
      <w:r>
        <w:br/>
      </w:r>
      <w:r>
        <w:br/>
      </w:r>
    </w:p>
    <w:p>
      <w:pPr>
        <w:pStyle w:val="null3"/>
        <w:jc w:val="center"/>
        <w:outlineLvl w:val="2"/>
      </w:pPr>
      <w:r>
        <w:rPr>
          <w:rFonts w:ascii="仿宋_GB2312" w:hAnsi="仿宋_GB2312" w:cs="仿宋_GB2312" w:eastAsia="仿宋_GB2312"/>
          <w:sz w:val="28"/>
          <w:b/>
        </w:rPr>
        <w:t>西安市周至县林木种苗工作站</w:t>
      </w:r>
    </w:p>
    <w:p>
      <w:pPr>
        <w:pStyle w:val="null3"/>
        <w:jc w:val="center"/>
        <w:outlineLvl w:val="2"/>
      </w:pPr>
      <w:r>
        <w:rPr>
          <w:rFonts w:ascii="仿宋_GB2312" w:hAnsi="仿宋_GB2312" w:cs="仿宋_GB2312" w:eastAsia="仿宋_GB2312"/>
          <w:sz w:val="28"/>
          <w:b/>
        </w:rPr>
        <w:t>陕西中扬德项目管理有限公司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陕西中扬德项目管理有限公司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西安市周至县林木种苗工作站</w:t>
      </w:r>
      <w:r>
        <w:rPr>
          <w:rFonts w:ascii="仿宋_GB2312" w:hAnsi="仿宋_GB2312" w:cs="仿宋_GB2312" w:eastAsia="仿宋_GB2312"/>
        </w:rPr>
        <w:t>委托，拟对</w:t>
      </w:r>
      <w:r>
        <w:rPr>
          <w:rFonts w:ascii="仿宋_GB2312" w:hAnsi="仿宋_GB2312" w:cs="仿宋_GB2312" w:eastAsia="仿宋_GB2312"/>
        </w:rPr>
        <w:t>2025年度省级林业产业发展核桃低产林改造补助项目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2025-ZYD-ZB-036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2025年度省级林业产业发展核桃低产林改造补助项目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通过抚育、整形修剪、病虫害防治等手段改造核桃低产林1000亩；购置有害生物防治器械30套、农药5000袋、生 物多样肥50吨；开展技术培训2次，培训群众100人次；购置旋耕机2台、割草机2台、混油高枝锯2把、柴油碎枝机1台。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采购包1（2025年度省级林业产业发展核桃低产林改造补助项目）：属于专门面向中小企业采购。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1、营业执照：供应商须具有独立承担民事责任能力的法人或其他组织，提供营业执照或事业单位法人证书或自然人的身份证明；</w:t>
      </w:r>
    </w:p>
    <w:p>
      <w:pPr>
        <w:pStyle w:val="null3"/>
      </w:pPr>
      <w:r>
        <w:rPr>
          <w:rFonts w:ascii="仿宋_GB2312" w:hAnsi="仿宋_GB2312" w:cs="仿宋_GB2312" w:eastAsia="仿宋_GB2312"/>
        </w:rPr>
        <w:t>2、法定代表人授权书：提供法定代表人授权书（附法定代表人、被授权人身份证复印件）及被授权人身份证复印件（法定代表人直接参加投标，须提供法定代表人身份证明及身份证复印件）；</w:t>
      </w:r>
    </w:p>
    <w:p>
      <w:pPr>
        <w:pStyle w:val="null3"/>
      </w:pPr>
      <w:r>
        <w:rPr>
          <w:rFonts w:ascii="仿宋_GB2312" w:hAnsi="仿宋_GB2312" w:cs="仿宋_GB2312" w:eastAsia="仿宋_GB2312"/>
        </w:rPr>
        <w:t>3、财务状况报告：提供2023年度或2024年度供应商的财务报告或出具开标前六个月内其基本账户银行出具的资信证明；</w:t>
      </w:r>
    </w:p>
    <w:p>
      <w:pPr>
        <w:pStyle w:val="null3"/>
      </w:pPr>
      <w:r>
        <w:rPr>
          <w:rFonts w:ascii="仿宋_GB2312" w:hAnsi="仿宋_GB2312" w:cs="仿宋_GB2312" w:eastAsia="仿宋_GB2312"/>
        </w:rPr>
        <w:t>4、税收缴纳证明：供应商需提供投标截至日期前6个月内任意一个月的完税凭证或税务机关开具的完税证明（任意税种）；依法免税的应提供相关文件证明；</w:t>
      </w:r>
    </w:p>
    <w:p>
      <w:pPr>
        <w:pStyle w:val="null3"/>
      </w:pPr>
      <w:r>
        <w:rPr>
          <w:rFonts w:ascii="仿宋_GB2312" w:hAnsi="仿宋_GB2312" w:cs="仿宋_GB2312" w:eastAsia="仿宋_GB2312"/>
        </w:rPr>
        <w:t>5、社会保障资金缴纳证明：投标人需提供投标截止日期前6个月内任意一个月的社会保障资金缴存单据或社保机构开具的社会保险参保缴费情况证明；依法不需要缴纳社会保障资金的应提供相关文件证明；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6、书面承诺：供应商须提供具有履行本合同所必需的设备和专业技术能力的声明、参加政府采购活动前3年内在经营活动中没有重大违法记录的书面承诺；</w:t>
      </w:r>
    </w:p>
    <w:p>
      <w:pPr>
        <w:pStyle w:val="null3"/>
      </w:pPr>
      <w:r>
        <w:rPr>
          <w:rFonts w:ascii="仿宋_GB2312" w:hAnsi="仿宋_GB2312" w:cs="仿宋_GB2312" w:eastAsia="仿宋_GB2312"/>
        </w:rPr>
        <w:t>7、信用查询：供应商应在投标截止日前未被列入失信被执行人、重大税收违法失信主体名单、政府采购严重违法失信行为记录名单（处罚期限届满的除外）（以“信用中国”网站 （www.creditchina.gov.cn）、中国政府采购网（www.ccgp.gov.cn）查询结果为准，提供网站截图并加盖投标人公章）</w:t>
      </w:r>
    </w:p>
    <w:p>
      <w:pPr>
        <w:pStyle w:val="null3"/>
      </w:pPr>
      <w:r>
        <w:rPr>
          <w:rFonts w:ascii="仿宋_GB2312" w:hAnsi="仿宋_GB2312" w:cs="仿宋_GB2312" w:eastAsia="仿宋_GB2312"/>
        </w:rPr>
        <w:t>8、联合体投标：本项目不接受联合体投标。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西安市周至县林木种苗工作站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西安市周至县林木种苗工作站</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15353494259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陕西中扬德项目管理有限公司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西安市周至县公园一号（陕西中扬德项目管理有限公司）</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029-85160588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采购包1：590,300.00元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代理服务费收费标准：按国家发展和改革委员会文件发改价格[2011]534号文件调整后的招标代理服务收费标准；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西安市周至县林木种苗工作站</w:t>
      </w:r>
      <w:r>
        <w:rPr>
          <w:rFonts w:ascii="仿宋_GB2312" w:hAnsi="仿宋_GB2312" w:cs="仿宋_GB2312" w:eastAsia="仿宋_GB2312"/>
        </w:rPr>
        <w:t>和</w:t>
      </w:r>
      <w:r>
        <w:rPr>
          <w:rFonts w:ascii="仿宋_GB2312" w:hAnsi="仿宋_GB2312" w:cs="仿宋_GB2312" w:eastAsia="仿宋_GB2312"/>
        </w:rPr>
        <w:t>陕西中扬德项目管理有限公司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西安市周至县林木种苗工作站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陕西中扬德项目管理有限公司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西安市周至县林木种苗工作站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陕西中扬德项目管理有限公司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达到国家现行法律法规及行业要求合格标准。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联系人：李工/何工</w:t>
      </w:r>
    </w:p>
    <w:p>
      <w:pPr>
        <w:pStyle w:val="null3"/>
      </w:pPr>
      <w:r>
        <w:rPr>
          <w:rFonts w:ascii="仿宋_GB2312" w:hAnsi="仿宋_GB2312" w:cs="仿宋_GB2312" w:eastAsia="仿宋_GB2312"/>
        </w:rPr>
        <w:t>联系电话：029-85160588</w:t>
      </w:r>
    </w:p>
    <w:p>
      <w:pPr>
        <w:pStyle w:val="null3"/>
      </w:pPr>
      <w:r>
        <w:rPr>
          <w:rFonts w:ascii="仿宋_GB2312" w:hAnsi="仿宋_GB2312" w:cs="仿宋_GB2312" w:eastAsia="仿宋_GB2312"/>
        </w:rPr>
        <w:t>地址：西安市周至县公园一号（陕西中扬德项目管理有限公司）</w:t>
      </w:r>
    </w:p>
    <w:p>
      <w:pPr>
        <w:pStyle w:val="null3"/>
      </w:pPr>
      <w:r>
        <w:rPr>
          <w:rFonts w:ascii="仿宋_GB2312" w:hAnsi="仿宋_GB2312" w:cs="仿宋_GB2312" w:eastAsia="仿宋_GB2312"/>
        </w:rPr>
        <w:t>邮编：710400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抚育、整形修剪、病虫害防治等手段改造核桃低产林1000亩；购置有害生物防治器械30套、农药5000袋、生物多样肥50吨；开展技术培训2次，培训群众100人次；购置旋耕机2台、割草机2台、混油高枝锯2把、柴油碎枝机1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590,300.00</w:t>
      </w:r>
    </w:p>
    <w:p>
      <w:pPr>
        <w:pStyle w:val="null3"/>
      </w:pPr>
      <w:r>
        <w:rPr>
          <w:rFonts w:ascii="仿宋_GB2312" w:hAnsi="仿宋_GB2312" w:cs="仿宋_GB2312" w:eastAsia="仿宋_GB2312"/>
        </w:rPr>
        <w:t>采购包最高限价（元）: 590,300.00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2025年度省级林业产业发展核桃低产林改造补助项目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590,300.00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标的名称：2025年度省级林业产业发展核桃低产林改造补助项目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803"/>
              <w:jc w:val="center"/>
            </w:pPr>
            <w:r>
              <w:rPr>
                <w:rFonts w:ascii="仿宋_GB2312" w:hAnsi="仿宋_GB2312" w:cs="仿宋_GB2312" w:eastAsia="仿宋_GB2312"/>
                <w:sz w:val="40"/>
                <w:b/>
                <w:color w:val="000000"/>
              </w:rPr>
              <w:t>采购内容及要求</w:t>
            </w:r>
          </w:p>
          <w:p>
            <w:pPr>
              <w:pStyle w:val="null3"/>
              <w:ind w:firstLine="562"/>
              <w:jc w:val="both"/>
            </w:pPr>
            <w:r>
              <w:rPr>
                <w:rFonts w:ascii="仿宋_GB2312" w:hAnsi="仿宋_GB2312" w:cs="仿宋_GB2312" w:eastAsia="仿宋_GB2312"/>
                <w:sz w:val="28"/>
                <w:b/>
                <w:color w:val="000000"/>
              </w:rPr>
              <w:t>一、项目名称</w:t>
            </w:r>
            <w:r>
              <w:rPr>
                <w:rFonts w:ascii="仿宋_GB2312" w:hAnsi="仿宋_GB2312" w:cs="仿宋_GB2312" w:eastAsia="仿宋_GB2312"/>
                <w:sz w:val="28"/>
                <w:b/>
                <w:color w:val="000000"/>
              </w:rPr>
              <w:t>：</w:t>
            </w:r>
          </w:p>
          <w:p>
            <w:pPr>
              <w:pStyle w:val="null3"/>
              <w:ind w:firstLine="560"/>
              <w:jc w:val="both"/>
            </w:pPr>
            <w:r>
              <w:rPr>
                <w:rFonts w:ascii="仿宋_GB2312" w:hAnsi="仿宋_GB2312" w:cs="仿宋_GB2312" w:eastAsia="仿宋_GB2312"/>
                <w:sz w:val="28"/>
                <w:color w:val="000000"/>
              </w:rPr>
              <w:t>2025年度省级林业产业发展核桃低产林改造补助项目</w:t>
            </w:r>
          </w:p>
          <w:p>
            <w:pPr>
              <w:pStyle w:val="null3"/>
              <w:ind w:firstLine="562"/>
              <w:jc w:val="both"/>
            </w:pPr>
            <w:r>
              <w:rPr>
                <w:rFonts w:ascii="仿宋_GB2312" w:hAnsi="仿宋_GB2312" w:cs="仿宋_GB2312" w:eastAsia="仿宋_GB2312"/>
                <w:sz w:val="28"/>
                <w:b/>
                <w:color w:val="000000"/>
              </w:rPr>
              <w:t>二、项目实施地点</w:t>
            </w:r>
            <w:r>
              <w:rPr>
                <w:rFonts w:ascii="仿宋_GB2312" w:hAnsi="仿宋_GB2312" w:cs="仿宋_GB2312" w:eastAsia="仿宋_GB2312"/>
                <w:sz w:val="28"/>
                <w:color w:val="000000"/>
              </w:rPr>
              <w:t>：</w:t>
            </w:r>
          </w:p>
          <w:p>
            <w:pPr>
              <w:pStyle w:val="null3"/>
              <w:ind w:firstLine="1120"/>
              <w:jc w:val="both"/>
            </w:pPr>
            <w:r>
              <w:rPr>
                <w:rFonts w:ascii="仿宋_GB2312" w:hAnsi="仿宋_GB2312" w:cs="仿宋_GB2312" w:eastAsia="仿宋_GB2312"/>
                <w:sz w:val="28"/>
                <w:color w:val="000000"/>
              </w:rPr>
              <w:t>周至县翠峰镇海子沟</w:t>
            </w:r>
          </w:p>
          <w:p>
            <w:pPr>
              <w:pStyle w:val="null3"/>
              <w:ind w:firstLine="562"/>
              <w:jc w:val="both"/>
            </w:pPr>
            <w:r>
              <w:rPr>
                <w:rFonts w:ascii="仿宋_GB2312" w:hAnsi="仿宋_GB2312" w:cs="仿宋_GB2312" w:eastAsia="仿宋_GB2312"/>
                <w:sz w:val="28"/>
                <w:b/>
                <w:color w:val="000000"/>
              </w:rPr>
              <w:t>三、建设单位</w:t>
            </w:r>
            <w:r>
              <w:rPr>
                <w:rFonts w:ascii="仿宋_GB2312" w:hAnsi="仿宋_GB2312" w:cs="仿宋_GB2312" w:eastAsia="仿宋_GB2312"/>
                <w:sz w:val="28"/>
                <w:color w:val="000000"/>
              </w:rPr>
              <w:t>：</w:t>
            </w:r>
          </w:p>
          <w:p>
            <w:pPr>
              <w:pStyle w:val="null3"/>
              <w:ind w:firstLine="1120"/>
              <w:jc w:val="both"/>
            </w:pPr>
            <w:r>
              <w:rPr>
                <w:rFonts w:ascii="仿宋_GB2312" w:hAnsi="仿宋_GB2312" w:cs="仿宋_GB2312" w:eastAsia="仿宋_GB2312"/>
                <w:sz w:val="28"/>
                <w:color w:val="000000"/>
              </w:rPr>
              <w:t>周至县林木种苗工作站</w:t>
            </w:r>
          </w:p>
          <w:p>
            <w:pPr>
              <w:pStyle w:val="null3"/>
              <w:ind w:firstLine="562"/>
              <w:jc w:val="both"/>
            </w:pPr>
            <w:r>
              <w:rPr>
                <w:rFonts w:ascii="仿宋_GB2312" w:hAnsi="仿宋_GB2312" w:cs="仿宋_GB2312" w:eastAsia="仿宋_GB2312"/>
                <w:sz w:val="28"/>
                <w:b/>
                <w:color w:val="000000"/>
              </w:rPr>
              <w:t>四、项目主要建设内容及规模</w:t>
            </w:r>
            <w:r>
              <w:rPr>
                <w:rFonts w:ascii="仿宋_GB2312" w:hAnsi="仿宋_GB2312" w:cs="仿宋_GB2312" w:eastAsia="仿宋_GB2312"/>
                <w:sz w:val="28"/>
                <w:b/>
                <w:color w:val="000000"/>
              </w:rPr>
              <w:t>:</w:t>
            </w:r>
          </w:p>
          <w:p>
            <w:pPr>
              <w:pStyle w:val="null3"/>
              <w:ind w:firstLine="560"/>
              <w:jc w:val="both"/>
            </w:pPr>
            <w:r>
              <w:rPr>
                <w:rFonts w:ascii="仿宋_GB2312" w:hAnsi="仿宋_GB2312" w:cs="仿宋_GB2312" w:eastAsia="仿宋_GB2312"/>
                <w:sz w:val="28"/>
              </w:rPr>
              <w:t>通过抚育、整形修剪、病虫害防治等手段改造核桃低产林</w:t>
            </w:r>
            <w:r>
              <w:rPr>
                <w:rFonts w:ascii="仿宋_GB2312" w:hAnsi="仿宋_GB2312" w:cs="仿宋_GB2312" w:eastAsia="仿宋_GB2312"/>
                <w:sz w:val="28"/>
              </w:rPr>
              <w:t>1000亩；购置有害生物防治器械30套、农药5000袋、生物多样肥50吨；开展技术培训2次，培训群众100人次；购置旋耕机2台、割草机2台</w:t>
            </w:r>
            <w:r>
              <w:rPr>
                <w:rFonts w:ascii="仿宋_GB2312" w:hAnsi="仿宋_GB2312" w:cs="仿宋_GB2312" w:eastAsia="仿宋_GB2312"/>
                <w:sz w:val="28"/>
              </w:rPr>
              <w:t>、</w:t>
            </w:r>
            <w:r>
              <w:rPr>
                <w:rFonts w:ascii="仿宋_GB2312" w:hAnsi="仿宋_GB2312" w:cs="仿宋_GB2312" w:eastAsia="仿宋_GB2312"/>
                <w:sz w:val="28"/>
              </w:rPr>
              <w:t>混油高枝锯</w:t>
            </w:r>
            <w:r>
              <w:rPr>
                <w:rFonts w:ascii="仿宋_GB2312" w:hAnsi="仿宋_GB2312" w:cs="仿宋_GB2312" w:eastAsia="仿宋_GB2312"/>
                <w:sz w:val="28"/>
              </w:rPr>
              <w:t>2把、柴油碎枝机1台。</w:t>
            </w:r>
          </w:p>
          <w:p>
            <w:pPr>
              <w:pStyle w:val="null3"/>
              <w:numPr>
                <w:ilvl w:val="0"/>
                <w:numId w:val="1"/>
              </w:numPr>
              <w:jc w:val="both"/>
            </w:pPr>
            <w:r>
              <w:rPr>
                <w:rFonts w:ascii="仿宋_GB2312" w:hAnsi="仿宋_GB2312" w:cs="仿宋_GB2312" w:eastAsia="仿宋_GB2312"/>
                <w:sz w:val="28"/>
                <w:b/>
              </w:rPr>
              <w:t>实施内容及技术要求</w:t>
            </w:r>
            <w:r>
              <w:rPr>
                <w:rFonts w:ascii="仿宋_GB2312" w:hAnsi="仿宋_GB2312" w:cs="仿宋_GB2312" w:eastAsia="仿宋_GB2312"/>
                <w:sz w:val="28"/>
                <w:b/>
                <w:color w:val="000000"/>
              </w:rPr>
              <w:t>:</w:t>
            </w:r>
          </w:p>
          <w:p>
            <w:pPr>
              <w:pStyle w:val="null3"/>
              <w:ind w:firstLine="562"/>
              <w:jc w:val="both"/>
            </w:pPr>
            <w:r>
              <w:rPr>
                <w:rFonts w:ascii="仿宋_GB2312" w:hAnsi="仿宋_GB2312" w:cs="仿宋_GB2312" w:eastAsia="仿宋_GB2312"/>
                <w:sz w:val="28"/>
                <w:b/>
              </w:rPr>
              <w:t>1、整形修剪</w:t>
            </w:r>
          </w:p>
          <w:p>
            <w:pPr>
              <w:pStyle w:val="null3"/>
              <w:ind w:firstLine="560"/>
              <w:jc w:val="both"/>
            </w:pPr>
            <w:r>
              <w:rPr>
                <w:rFonts w:ascii="仿宋_GB2312" w:hAnsi="仿宋_GB2312" w:cs="仿宋_GB2312" w:eastAsia="仿宋_GB2312"/>
                <w:sz w:val="28"/>
              </w:rPr>
              <w:t>积极推广应用良种核桃简化整形修剪技术，早实核桃采用的树形主要是疏散分层形和自然开心形，我们不强调树形整齐划一，而根据当年枝条抽生情况，随树做形，使之尽快成形。一是整形时只选留主枝和侧枝，尽量减少骨干枝级，即冬剪时只对长头进行短截，并对过密枝进行疏除，其余枝条全部保留，使其尽快形成骨架，提早结果。二是由于早实核桃顶端优势较差，容易形成卡脖现象，修剪时应注意第一层层间带留</w:t>
            </w:r>
            <w:r>
              <w:rPr>
                <w:rFonts w:ascii="仿宋_GB2312" w:hAnsi="仿宋_GB2312" w:cs="仿宋_GB2312" w:eastAsia="仿宋_GB2312"/>
                <w:sz w:val="28"/>
              </w:rPr>
              <w:t>20-30cm；主枝的第一个侧枝距主干不能低于30cm；骨干枝短截后，剪口下2个枝容易形成竞争，顶端优势不明显，因此要及时抹掉1个芽。三是由于核桃枝势较强，生长直立，主枝角度较小，所以一定要采用拉枝开张角度。四是生长季节整形修剪非常重要，通过生长季节修剪，增加枝量，加快树冠形成，开张角度，结合枝势，疏除过密枝，减少营养物质消耗。</w:t>
            </w:r>
          </w:p>
          <w:p>
            <w:pPr>
              <w:pStyle w:val="null3"/>
              <w:ind w:firstLine="562"/>
              <w:jc w:val="both"/>
            </w:pPr>
            <w:r>
              <w:rPr>
                <w:rFonts w:ascii="仿宋_GB2312" w:hAnsi="仿宋_GB2312" w:cs="仿宋_GB2312" w:eastAsia="仿宋_GB2312"/>
                <w:sz w:val="28"/>
                <w:b/>
              </w:rPr>
              <w:t>2、病虫害防治</w:t>
            </w:r>
          </w:p>
          <w:p>
            <w:pPr>
              <w:pStyle w:val="null3"/>
              <w:ind w:firstLine="560"/>
              <w:jc w:val="both"/>
            </w:pPr>
            <w:r>
              <w:rPr>
                <w:rFonts w:ascii="仿宋_GB2312" w:hAnsi="仿宋_GB2312" w:cs="仿宋_GB2312" w:eastAsia="仿宋_GB2312"/>
                <w:sz w:val="28"/>
              </w:rPr>
              <w:t>病虫害危害是影响经济林生产的重要因素之一，要提高核桃的产量和质量，必须把病虫害防治放在重要的位置。病虫害防治要贯彻</w:t>
            </w:r>
            <w:r>
              <w:rPr>
                <w:rFonts w:ascii="仿宋_GB2312" w:hAnsi="仿宋_GB2312" w:cs="仿宋_GB2312" w:eastAsia="仿宋_GB2312"/>
                <w:sz w:val="28"/>
              </w:rPr>
              <w:t>"预防为主、综合防治"的方针，同时要做好病虫害预测和监测工作，根据病虫害的发生、危害程度及时防治。在病虫害防治的用药上，应优先选择高效，低毒、低残留及有选择性的农药，如微生物农药、植物源农药、动物源和一些特异性农药等，尽量避免使用广谱性农药，以最大限度的保护天敌，充分发挥天敌的自然调控作用，减轻农药污染。</w:t>
            </w:r>
          </w:p>
          <w:p>
            <w:pPr>
              <w:pStyle w:val="null3"/>
              <w:ind w:firstLine="562"/>
              <w:jc w:val="both"/>
            </w:pPr>
            <w:r>
              <w:rPr>
                <w:rFonts w:ascii="仿宋_GB2312" w:hAnsi="仿宋_GB2312" w:cs="仿宋_GB2312" w:eastAsia="仿宋_GB2312"/>
                <w:sz w:val="28"/>
                <w:b/>
              </w:rPr>
              <w:t>3、抚育管理</w:t>
            </w:r>
          </w:p>
          <w:p>
            <w:pPr>
              <w:pStyle w:val="null3"/>
              <w:ind w:firstLine="560"/>
              <w:jc w:val="both"/>
            </w:pPr>
            <w:r>
              <w:rPr>
                <w:rFonts w:ascii="仿宋_GB2312" w:hAnsi="仿宋_GB2312" w:cs="仿宋_GB2312" w:eastAsia="仿宋_GB2312"/>
                <w:sz w:val="28"/>
              </w:rPr>
              <w:t>土壤管理：进行土壤翻耕，结合林下种植中药材等林下复合经营模式，保证土壤疏松、肥沃、无杂草。入冬前及时进行园地清理、全园深翻、修整树盘和树干涂白。</w:t>
            </w:r>
          </w:p>
          <w:p>
            <w:pPr>
              <w:pStyle w:val="null3"/>
              <w:ind w:firstLine="560"/>
              <w:jc w:val="both"/>
            </w:pPr>
            <w:r>
              <w:rPr>
                <w:rFonts w:ascii="仿宋_GB2312" w:hAnsi="仿宋_GB2312" w:cs="仿宋_GB2312" w:eastAsia="仿宋_GB2312"/>
                <w:sz w:val="28"/>
              </w:rPr>
              <w:t>松土</w:t>
            </w:r>
            <w:r>
              <w:rPr>
                <w:rFonts w:ascii="仿宋_GB2312" w:hAnsi="仿宋_GB2312" w:cs="仿宋_GB2312" w:eastAsia="仿宋_GB2312"/>
                <w:sz w:val="28"/>
              </w:rPr>
              <w:t>除草</w:t>
            </w:r>
            <w:r>
              <w:rPr>
                <w:rFonts w:ascii="仿宋_GB2312" w:hAnsi="仿宋_GB2312" w:cs="仿宋_GB2312" w:eastAsia="仿宋_GB2312"/>
                <w:sz w:val="28"/>
              </w:rPr>
              <w:t>:要获得高产稳定和优质核桃，就必须勤松土与除草，每年除草4-8次。另外，对土壤进行耕作，增加透气性和保墒能力，防止土壤结板。</w:t>
            </w:r>
          </w:p>
          <w:p>
            <w:pPr>
              <w:pStyle w:val="null3"/>
              <w:ind w:firstLine="560"/>
              <w:jc w:val="both"/>
            </w:pPr>
            <w:r>
              <w:rPr>
                <w:rFonts w:ascii="仿宋_GB2312" w:hAnsi="仿宋_GB2312" w:cs="仿宋_GB2312" w:eastAsia="仿宋_GB2312"/>
                <w:sz w:val="28"/>
              </w:rPr>
              <w:t>深翻扩盘</w:t>
            </w:r>
            <w:r>
              <w:rPr>
                <w:rFonts w:ascii="仿宋_GB2312" w:hAnsi="仿宋_GB2312" w:cs="仿宋_GB2312" w:eastAsia="仿宋_GB2312"/>
                <w:sz w:val="28"/>
              </w:rPr>
              <w:t>:延主干周围逐年向外深翻扩大栽植穴，直至株间全部翻遍为止。深翻深度60-80cm。近根处要浅，外围要深，以不伤大根为原则，每次深翻时结合施入腐烂的柴草等粗质有机肥料。</w:t>
            </w:r>
          </w:p>
          <w:p>
            <w:pPr>
              <w:pStyle w:val="null3"/>
              <w:ind w:firstLine="560"/>
              <w:jc w:val="both"/>
            </w:pPr>
            <w:r>
              <w:rPr>
                <w:rFonts w:ascii="仿宋_GB2312" w:hAnsi="仿宋_GB2312" w:cs="仿宋_GB2312" w:eastAsia="仿宋_GB2312"/>
                <w:sz w:val="28"/>
              </w:rPr>
              <w:t>间作</w:t>
            </w:r>
            <w:r>
              <w:rPr>
                <w:rFonts w:ascii="仿宋_GB2312" w:hAnsi="仿宋_GB2312" w:cs="仿宋_GB2312" w:eastAsia="仿宋_GB2312"/>
                <w:sz w:val="28"/>
              </w:rPr>
              <w:t>:为有效利用现有林地，项目区选择套种芍药、五味子等适应当地气候环境，适宜林下栽植的中药材品种，发展林下经济，提高林地经济收益。</w:t>
            </w:r>
          </w:p>
          <w:p>
            <w:pPr>
              <w:pStyle w:val="null3"/>
              <w:ind w:firstLine="560"/>
              <w:jc w:val="both"/>
            </w:pPr>
            <w:r>
              <w:rPr>
                <w:rFonts w:ascii="仿宋_GB2312" w:hAnsi="仿宋_GB2312" w:cs="仿宋_GB2312" w:eastAsia="仿宋_GB2312"/>
                <w:sz w:val="28"/>
              </w:rPr>
              <w:t>肥水管理</w:t>
            </w:r>
            <w:r>
              <w:rPr>
                <w:rFonts w:ascii="仿宋_GB2312" w:hAnsi="仿宋_GB2312" w:cs="仿宋_GB2312" w:eastAsia="仿宋_GB2312"/>
                <w:sz w:val="28"/>
              </w:rPr>
              <w:t>:施肥时期为采果后至封冻前都可进行，以氮、磷、钾复合肥为主，株施复合肥1-1.5千克。施肥方法为沿树冠外缘挖环形沟、条形沟或点状穴坑，将肥料施入沟内填土埋严即可，或直接撒施后翻耕。在冬季强降温来临时做好树体的防冻保护，早春晚霜来临时，及时喷防冻剂，当日强降温时段熏烟防护。</w:t>
            </w:r>
          </w:p>
          <w:p>
            <w:pPr>
              <w:pStyle w:val="null3"/>
              <w:ind w:firstLine="562"/>
              <w:jc w:val="both"/>
            </w:pPr>
            <w:r>
              <w:rPr>
                <w:rFonts w:ascii="仿宋_GB2312" w:hAnsi="仿宋_GB2312" w:cs="仿宋_GB2312" w:eastAsia="仿宋_GB2312"/>
                <w:sz w:val="28"/>
                <w:b/>
              </w:rPr>
              <w:t>4、项目区核桃常见的病虫害主要有：</w:t>
            </w:r>
          </w:p>
          <w:p>
            <w:pPr>
              <w:pStyle w:val="null3"/>
              <w:ind w:firstLine="560"/>
              <w:jc w:val="both"/>
            </w:pPr>
            <w:r>
              <w:rPr>
                <w:rFonts w:ascii="仿宋_GB2312" w:hAnsi="仿宋_GB2312" w:cs="仿宋_GB2312" w:eastAsia="仿宋_GB2312"/>
                <w:sz w:val="28"/>
              </w:rPr>
              <w:t>（一）核桃举肢蛾在土壤潮湿、杂草丛生的荒山沟洼处尤为严重。主要危害果实，果实受害率达</w:t>
            </w:r>
            <w:r>
              <w:rPr>
                <w:rFonts w:ascii="仿宋_GB2312" w:hAnsi="仿宋_GB2312" w:cs="仿宋_GB2312" w:eastAsia="仿宋_GB2312"/>
                <w:sz w:val="28"/>
              </w:rPr>
              <w:t>70%-80%，甚至高达100%，也是降低核桃产量和品质的主要害虫。防治方法：消灭虫源：结冻前彻底消除枯枝落叶和杂草，刮掉树干基部老皮，集中烧毁。翻耕树下土壤，可消灭大部分越冬幼虫。在受害幼果脱落前，及时剪、摘深埋，以减少翌年的虫口密度。耕翻土壤：采果至土壤结冻前或翌年早春进行树下耕翻可将举肢蛾消灭在出土之前，耕翻深度约15cm，范围要稍大于树冠投影面积。结合耕翻可在树冠下地面上撒施5％辛硫磷粉剂，每亩用2kg，施后翻耙使药土混匀。药剂防治：成虫羽化前，树盘覆土2-4 cm 厚，或地面撒药，每亩撒杀螟松粉2-3 kg 。在幼虫孵化期是药剂防治的重点，主要药剂有氧化乐果1000倍液，48％乐斯本乳油2000倍液，10％高效氯氢2500倍液。</w:t>
            </w:r>
          </w:p>
          <w:p>
            <w:pPr>
              <w:pStyle w:val="null3"/>
              <w:ind w:firstLine="560"/>
              <w:jc w:val="both"/>
            </w:pPr>
            <w:r>
              <w:rPr>
                <w:rFonts w:ascii="仿宋_GB2312" w:hAnsi="仿宋_GB2312" w:cs="仿宋_GB2312" w:eastAsia="仿宋_GB2312"/>
                <w:sz w:val="28"/>
              </w:rPr>
              <w:t>（二）核桃小吉丁，在我国主要分布于山西、山东、河北、河南、陕西、甘肃、内蒙古等地，主要危害核桃等。防治方法：加强管理：增强树势，提高抗虫力。饵木诱杀：成虫产卵期，设置饵木，诱集成虫产卵，及时烧掉。彻底剪除虫梢：结合采收核桃，把受害枝条彻底剪除，或在发芽后成虫羽化前剪除。虫疤涂抹敌敌畏（</w:t>
            </w:r>
            <w:r>
              <w:rPr>
                <w:rFonts w:ascii="仿宋_GB2312" w:hAnsi="仿宋_GB2312" w:cs="仿宋_GB2312" w:eastAsia="仿宋_GB2312"/>
                <w:sz w:val="28"/>
              </w:rPr>
              <w:t>2:1）液。</w:t>
            </w:r>
          </w:p>
          <w:p>
            <w:pPr>
              <w:pStyle w:val="null3"/>
              <w:ind w:firstLine="560"/>
              <w:jc w:val="both"/>
            </w:pPr>
            <w:r>
              <w:rPr>
                <w:rFonts w:ascii="仿宋_GB2312" w:hAnsi="仿宋_GB2312" w:cs="仿宋_GB2312" w:eastAsia="仿宋_GB2312"/>
                <w:sz w:val="28"/>
              </w:rPr>
              <w:t>（三）</w:t>
            </w:r>
            <w:r>
              <w:rPr>
                <w:rFonts w:ascii="仿宋_GB2312" w:hAnsi="仿宋_GB2312" w:cs="仿宋_GB2312" w:eastAsia="仿宋_GB2312"/>
                <w:sz w:val="28"/>
              </w:rPr>
              <w:t>核桃树腐烂病防治</w:t>
            </w:r>
          </w:p>
          <w:p>
            <w:pPr>
              <w:pStyle w:val="null3"/>
              <w:ind w:firstLine="560"/>
              <w:jc w:val="both"/>
            </w:pPr>
            <w:r>
              <w:rPr>
                <w:rFonts w:ascii="仿宋_GB2312" w:hAnsi="仿宋_GB2312" w:cs="仿宋_GB2312" w:eastAsia="仿宋_GB2312"/>
                <w:sz w:val="28"/>
              </w:rPr>
              <w:t>属真菌性病害，主要危害主干和主枝树皮，导致树势衰弱甚至死亡。幼树受害后，病部深达木质部周围出现灰色梭形病斑，水渍状。病菌在枝干病部越冬，从冻伤、机械伤、剪锯口等处侵入，借助风雨、昆虫等传播。</w:t>
            </w:r>
          </w:p>
          <w:p>
            <w:pPr>
              <w:pStyle w:val="null3"/>
              <w:ind w:firstLine="560"/>
              <w:jc w:val="both"/>
            </w:pPr>
            <w:r>
              <w:rPr>
                <w:rFonts w:ascii="仿宋_GB2312" w:hAnsi="仿宋_GB2312" w:cs="仿宋_GB2312" w:eastAsia="仿宋_GB2312"/>
                <w:sz w:val="28"/>
              </w:rPr>
              <w:t>防治方法：</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改良土壤，促进根系发育，并增施有机肥，合理修剪，增强树势，提高抗病能力。</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适当疏除下垂枝、老弱枝，以恢复树势，并对剪锯口用</w:t>
            </w:r>
            <w:r>
              <w:rPr>
                <w:rFonts w:ascii="仿宋_GB2312" w:hAnsi="仿宋_GB2312" w:cs="仿宋_GB2312" w:eastAsia="仿宋_GB2312"/>
                <w:sz w:val="28"/>
              </w:rPr>
              <w:t>1%的硫酸铜进行消毒。</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发病严重的园区可在冬前刮除病斑，刮后用波美</w:t>
            </w:r>
            <w:r>
              <w:rPr>
                <w:rFonts w:ascii="仿宋_GB2312" w:hAnsi="仿宋_GB2312" w:cs="仿宋_GB2312" w:eastAsia="仿宋_GB2312"/>
                <w:sz w:val="28"/>
              </w:rPr>
              <w:t>3-5度石硫合剂涂抹消毒，刮下的病皮集中烧毁。</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冬季树干涂白防冻。春季发芽前，在主干和主枝的中下部喷施波美</w:t>
            </w:r>
            <w:r>
              <w:rPr>
                <w:rFonts w:ascii="仿宋_GB2312" w:hAnsi="仿宋_GB2312" w:cs="仿宋_GB2312" w:eastAsia="仿宋_GB2312"/>
                <w:sz w:val="28"/>
              </w:rPr>
              <w:t>2-3度石硫合剂。</w:t>
            </w:r>
          </w:p>
          <w:p>
            <w:pPr>
              <w:pStyle w:val="null3"/>
              <w:ind w:firstLine="560"/>
              <w:jc w:val="both"/>
            </w:pPr>
            <w:r>
              <w:rPr>
                <w:rFonts w:ascii="仿宋_GB2312" w:hAnsi="仿宋_GB2312" w:cs="仿宋_GB2312" w:eastAsia="仿宋_GB2312"/>
                <w:sz w:val="28"/>
              </w:rPr>
              <w:t>（四）</w:t>
            </w:r>
            <w:r>
              <w:rPr>
                <w:rFonts w:ascii="仿宋_GB2312" w:hAnsi="仿宋_GB2312" w:cs="仿宋_GB2312" w:eastAsia="仿宋_GB2312"/>
                <w:sz w:val="28"/>
              </w:rPr>
              <w:t>核桃黑斑病防治</w:t>
            </w:r>
          </w:p>
          <w:p>
            <w:pPr>
              <w:pStyle w:val="null3"/>
              <w:ind w:firstLine="560"/>
              <w:jc w:val="both"/>
            </w:pPr>
            <w:r>
              <w:rPr>
                <w:rFonts w:ascii="仿宋_GB2312" w:hAnsi="仿宋_GB2312" w:cs="仿宋_GB2312" w:eastAsia="仿宋_GB2312"/>
                <w:sz w:val="28"/>
              </w:rPr>
              <w:t>是一种世界性病害，严重时造成早期落叶，果实变黑、腐烂、早落，或使核仁干瘪减重，出油率降低。</w:t>
            </w:r>
          </w:p>
          <w:p>
            <w:pPr>
              <w:pStyle w:val="null3"/>
              <w:ind w:firstLine="560"/>
              <w:jc w:val="both"/>
            </w:pPr>
            <w:r>
              <w:rPr>
                <w:rFonts w:ascii="仿宋_GB2312" w:hAnsi="仿宋_GB2312" w:cs="仿宋_GB2312" w:eastAsia="仿宋_GB2312"/>
                <w:sz w:val="28"/>
              </w:rPr>
              <w:t>防治方法：</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选育抗病品种，如辽核</w:t>
            </w:r>
            <w:r>
              <w:rPr>
                <w:rFonts w:ascii="仿宋_GB2312" w:hAnsi="仿宋_GB2312" w:cs="仿宋_GB2312" w:eastAsia="仿宋_GB2312"/>
                <w:sz w:val="28"/>
              </w:rPr>
              <w:t>4号，加强科学管理，提高抗病能力，结合采后修剪，清除病叶、病枝、病果，集中烧毁可作为防治的重要途径。</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及时防治举肢蛾、山核桃蚜虫、长足象等果实害虫，减少伤口和传播媒介。加强苗期病害防治，尽量减少病菌，新区禁用病苗定植，防止病害扩展蔓延；加强栽培管理，保持树体健壮生长，提高抗病能力。</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核桃发芽前，喷一次</w:t>
            </w:r>
            <w:r>
              <w:rPr>
                <w:rFonts w:ascii="仿宋_GB2312" w:hAnsi="仿宋_GB2312" w:cs="仿宋_GB2312" w:eastAsia="仿宋_GB2312"/>
                <w:sz w:val="28"/>
              </w:rPr>
              <w:t>5°Be石硫合剂，消灭越冬病菌，减少侵染病源，兼治介壳虫等其它病虫害；核桃展叶前，喷1/0.5/200（硫酸铜/生石灰/水）的波尔多液或50%甲基托布津500～800倍液，保护树体，经济实用效果好； 5—6月发病前，用50%托布津可湿性粉剂1000—1500倍液防治，效果较好；在核桃开花前、开花后、幼果期、果实速长期各喷一次波尔多液、代森锌可兼治多种病虫，用25%亚胺硫磷乳剂加65%代森锌可湿性粉剂加尿素加水（2/2/5/1000）等混合液喷雾，可达到病虫兼治，还可起到根外追肥的作用，防治效果良好。</w:t>
            </w:r>
          </w:p>
          <w:p>
            <w:pPr>
              <w:pStyle w:val="null3"/>
              <w:ind w:firstLine="562"/>
              <w:jc w:val="both"/>
            </w:pPr>
            <w:r>
              <w:rPr>
                <w:rFonts w:ascii="仿宋_GB2312" w:hAnsi="仿宋_GB2312" w:cs="仿宋_GB2312" w:eastAsia="仿宋_GB2312"/>
                <w:sz w:val="28"/>
                <w:b/>
              </w:rPr>
              <w:t>六、技术要求</w:t>
            </w:r>
          </w:p>
          <w:p>
            <w:pPr>
              <w:pStyle w:val="null3"/>
              <w:ind w:firstLine="562"/>
              <w:jc w:val="both"/>
            </w:pPr>
            <w:r>
              <w:rPr>
                <w:rFonts w:ascii="仿宋_GB2312" w:hAnsi="仿宋_GB2312" w:cs="仿宋_GB2312" w:eastAsia="仿宋_GB2312"/>
                <w:sz w:val="28"/>
                <w:b/>
              </w:rPr>
              <w:t>1、</w:t>
            </w:r>
            <w:r>
              <w:rPr>
                <w:rFonts w:ascii="仿宋_GB2312" w:hAnsi="仿宋_GB2312" w:cs="仿宋_GB2312" w:eastAsia="仿宋_GB2312"/>
                <w:sz w:val="28"/>
              </w:rPr>
              <w:t>科学化栽培管理技术：对示范园进行密度改良修剪整形、林下种殖、花果管理、病虫害防治等综合技术措施，建立优质核桃丰产栽培示范园，实现丰产、优质、增收的建设目标。</w:t>
            </w:r>
          </w:p>
          <w:p>
            <w:pPr>
              <w:pStyle w:val="null3"/>
              <w:ind w:firstLine="562"/>
              <w:jc w:val="both"/>
            </w:pPr>
            <w:r>
              <w:rPr>
                <w:rFonts w:ascii="仿宋_GB2312" w:hAnsi="仿宋_GB2312" w:cs="仿宋_GB2312" w:eastAsia="仿宋_GB2312"/>
                <w:sz w:val="28"/>
                <w:b/>
              </w:rPr>
              <w:t>2、</w:t>
            </w:r>
            <w:r>
              <w:rPr>
                <w:rFonts w:ascii="仿宋_GB2312" w:hAnsi="仿宋_GB2312" w:cs="仿宋_GB2312" w:eastAsia="仿宋_GB2312"/>
                <w:sz w:val="28"/>
              </w:rPr>
              <w:t>修剪整形技术：培养丰产树形，对树体进行短截、回缩、拉枝等简化整形修剪，增加枝量，加快树冠形成，开张角度，结合枝势，疏除过密枝，减少营养物质消耗。</w:t>
            </w:r>
          </w:p>
          <w:p>
            <w:pPr>
              <w:pStyle w:val="null3"/>
              <w:ind w:firstLine="689"/>
              <w:jc w:val="both"/>
            </w:pPr>
            <w:r>
              <w:rPr>
                <w:rFonts w:ascii="仿宋_GB2312" w:hAnsi="仿宋_GB2312" w:cs="仿宋_GB2312" w:eastAsia="仿宋_GB2312"/>
                <w:sz w:val="28"/>
                <w:b/>
              </w:rPr>
              <w:t>3、</w:t>
            </w:r>
            <w:r>
              <w:rPr>
                <w:rFonts w:ascii="仿宋_GB2312" w:hAnsi="仿宋_GB2312" w:cs="仿宋_GB2312" w:eastAsia="仿宋_GB2312"/>
                <w:sz w:val="28"/>
              </w:rPr>
              <w:t>核桃病虫害无公害防治技术：坚持</w:t>
            </w:r>
            <w:r>
              <w:rPr>
                <w:rFonts w:ascii="仿宋_GB2312" w:hAnsi="仿宋_GB2312" w:cs="仿宋_GB2312" w:eastAsia="仿宋_GB2312"/>
                <w:sz w:val="28"/>
              </w:rPr>
              <w:t>“预防为主，综合防治”的方针，以无公害防治为原则，安装太阳能诱虫灯，</w:t>
            </w:r>
            <w:r>
              <w:rPr>
                <w:rFonts w:ascii="仿宋_GB2312" w:hAnsi="仿宋_GB2312" w:cs="仿宋_GB2312" w:eastAsia="仿宋_GB2312"/>
                <w:sz w:val="28"/>
              </w:rPr>
              <w:t>利用害虫趋光特点，进行诱杀。主要防治金龟子、夜蛾、天蛾等害虫。间隔</w:t>
            </w:r>
            <w:r>
              <w:rPr>
                <w:rFonts w:ascii="仿宋_GB2312" w:hAnsi="仿宋_GB2312" w:cs="仿宋_GB2312" w:eastAsia="仿宋_GB2312"/>
                <w:sz w:val="28"/>
              </w:rPr>
              <w:t>120～150米安装1台，控制面积平均为30亩，实际控制范围内的防治效果可达85%以上。</w:t>
            </w:r>
            <w:r>
              <w:rPr>
                <w:rFonts w:ascii="仿宋_GB2312" w:hAnsi="仿宋_GB2312" w:cs="仿宋_GB2312" w:eastAsia="仿宋_GB2312"/>
                <w:sz w:val="28"/>
              </w:rPr>
              <w:t>采用人工捕捉，物理防治等方法防治天牛危害</w:t>
            </w:r>
          </w:p>
          <w:p>
            <w:pPr>
              <w:pStyle w:val="null3"/>
              <w:numPr>
                <w:ilvl w:val="0"/>
                <w:numId w:val="1"/>
              </w:numPr>
              <w:spacing w:before="285" w:after="285"/>
              <w:jc w:val="both"/>
            </w:pPr>
            <w:r>
              <w:rPr>
                <w:rFonts w:ascii="仿宋_GB2312" w:hAnsi="仿宋_GB2312" w:cs="仿宋_GB2312" w:eastAsia="仿宋_GB2312"/>
                <w:sz w:val="32"/>
                <w:b/>
              </w:rPr>
              <w:t>清单</w:t>
            </w:r>
          </w:p>
          <w:tbl>
            <w:tblPr>
              <w:tblInd w:type="dxa" w:w="105"/>
              <w:tblBorders>
                <w:top w:val="none" w:color="000000" w:sz="4"/>
                <w:left w:val="none" w:color="000000" w:sz="4"/>
                <w:bottom w:val="none" w:color="000000" w:sz="4"/>
                <w:right w:val="none" w:color="000000" w:sz="4"/>
                <w:insideH w:val="none"/>
                <w:insideV w:val="none"/>
              </w:tblBorders>
            </w:tblPr>
            <w:tblGrid>
              <w:gridCol w:w="212"/>
              <w:gridCol w:w="244"/>
              <w:gridCol w:w="124"/>
              <w:gridCol w:w="1149"/>
              <w:gridCol w:w="397"/>
              <w:gridCol w:w="420"/>
            </w:tblGrid>
            <w:tr>
              <w:tc>
                <w:tcPr>
                  <w:tcW w:type="dxa" w:w="212"/>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50"/>
                    <w:ind w:left="270"/>
                    <w:jc w:val="both"/>
                  </w:pPr>
                  <w:r>
                    <w:rPr>
                      <w:rFonts w:ascii="仿宋_GB2312" w:hAnsi="仿宋_GB2312" w:cs="仿宋_GB2312" w:eastAsia="仿宋_GB2312"/>
                      <w:sz w:val="24"/>
                      <w:b/>
                    </w:rPr>
                    <w:t>序号</w:t>
                  </w:r>
                </w:p>
              </w:tc>
              <w:tc>
                <w:tcPr>
                  <w:tcW w:type="dxa" w:w="1517"/>
                  <w:gridSpan w:val="3"/>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50"/>
                    <w:ind w:firstLine="1080"/>
                    <w:jc w:val="both"/>
                  </w:pPr>
                  <w:r>
                    <w:rPr>
                      <w:rFonts w:ascii="仿宋_GB2312" w:hAnsi="仿宋_GB2312" w:cs="仿宋_GB2312" w:eastAsia="仿宋_GB2312"/>
                      <w:sz w:val="24"/>
                      <w:b/>
                    </w:rPr>
                    <w:t>建设内容</w:t>
                  </w:r>
                </w:p>
              </w:tc>
              <w:tc>
                <w:tcPr>
                  <w:tcW w:type="dxa" w:w="397"/>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50"/>
                    <w:ind w:left="330" w:firstLine="241"/>
                    <w:jc w:val="both"/>
                  </w:pPr>
                  <w:r>
                    <w:rPr>
                      <w:rFonts w:ascii="仿宋_GB2312" w:hAnsi="仿宋_GB2312" w:cs="仿宋_GB2312" w:eastAsia="仿宋_GB2312"/>
                      <w:sz w:val="24"/>
                      <w:b/>
                    </w:rPr>
                    <w:t>单位</w:t>
                  </w:r>
                </w:p>
              </w:tc>
              <w:tc>
                <w:tcPr>
                  <w:tcW w:type="dxa" w:w="420"/>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50"/>
                    <w:ind w:left="390"/>
                    <w:jc w:val="both"/>
                  </w:pPr>
                  <w:r>
                    <w:rPr>
                      <w:rFonts w:ascii="仿宋_GB2312" w:hAnsi="仿宋_GB2312" w:cs="仿宋_GB2312" w:eastAsia="仿宋_GB2312"/>
                      <w:sz w:val="24"/>
                      <w:b/>
                    </w:rPr>
                    <w:t>数量</w:t>
                  </w:r>
                </w:p>
              </w:tc>
            </w:tr>
            <w:tr>
              <w:tc>
                <w:tcPr>
                  <w:tcW w:type="dxa" w:w="2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517"/>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抚育、整形修剪</w:t>
                  </w:r>
                </w:p>
              </w:tc>
              <w:tc>
                <w:tcPr>
                  <w:tcW w:type="dxa" w:w="39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亩</w:t>
                  </w:r>
                </w:p>
              </w:tc>
              <w:tc>
                <w:tcPr>
                  <w:tcW w:type="dxa" w:w="4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1000</w:t>
                  </w:r>
                </w:p>
              </w:tc>
            </w:tr>
            <w:tr>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51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农药</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袋</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5000</w:t>
                  </w:r>
                </w:p>
              </w:tc>
            </w:tr>
            <w:tr>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51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生物多样肥</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吨</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50</w:t>
                  </w:r>
                </w:p>
              </w:tc>
            </w:tr>
            <w:tr>
              <w:tc>
                <w:tcPr>
                  <w:tcW w:type="dxa" w:w="21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24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有害生物防治器械</w:t>
                  </w:r>
                </w:p>
              </w:tc>
              <w:tc>
                <w:tcPr>
                  <w:tcW w:type="dxa" w:w="127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喷雾器</w:t>
                  </w:r>
                </w:p>
              </w:tc>
              <w:tc>
                <w:tcPr>
                  <w:tcW w:type="dxa" w:w="39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套</w:t>
                  </w:r>
                </w:p>
              </w:tc>
              <w:tc>
                <w:tcPr>
                  <w:tcW w:type="dxa" w:w="420"/>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w:t>
                  </w:r>
                </w:p>
              </w:tc>
            </w:tr>
            <w:tr>
              <w:tc>
                <w:tcPr>
                  <w:tcW w:type="dxa" w:w="212"/>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27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太阳能诱虫灯</w:t>
                  </w:r>
                </w:p>
              </w:tc>
            </w:tr>
            <w:tr>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151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核桃栽培技术培训</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次</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r>
            <w:tr>
              <w:tc>
                <w:tcPr>
                  <w:tcW w:type="dxa" w:w="21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368"/>
                  <w:gridSpan w:val="2"/>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购置器械</w:t>
                  </w:r>
                </w:p>
              </w:tc>
              <w:tc>
                <w:tcPr>
                  <w:tcW w:type="dxa" w:w="1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旋耕机</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台</w:t>
                  </w:r>
                </w:p>
              </w:tc>
              <w:tc>
                <w:tcPr>
                  <w:tcW w:type="dxa" w:w="4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r>
            <w:tr>
              <w:tc>
                <w:tcPr>
                  <w:tcW w:type="dxa" w:w="212"/>
                  <w:vMerge/>
                  <w:tcBorders>
                    <w:top w:val="none" w:color="000000" w:sz="4"/>
                    <w:left w:val="single" w:color="000000" w:sz="4"/>
                    <w:bottom w:val="single" w:color="000000" w:sz="4"/>
                    <w:right w:val="single" w:color="000000" w:sz="4"/>
                  </w:tcBorders>
                </w:tcPr>
                <w:p/>
              </w:tc>
              <w:tc>
                <w:tcPr>
                  <w:tcW w:type="dxa" w:w="368"/>
                  <w:gridSpan w:val="2"/>
                  <w:vMerge/>
                  <w:tcBorders>
                    <w:top w:val="none" w:color="000000" w:sz="4"/>
                    <w:left w:val="none" w:color="000000" w:sz="4"/>
                    <w:bottom w:val="single" w:color="000000" w:sz="4"/>
                    <w:right w:val="single" w:color="000000" w:sz="4"/>
                  </w:tcBorders>
                </w:tcPr>
                <w:p/>
              </w:tc>
              <w:tc>
                <w:tcPr>
                  <w:tcW w:type="dxa" w:w="1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割草机</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台</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r>
            <w:tr>
              <w:tc>
                <w:tcPr>
                  <w:tcW w:type="dxa" w:w="212"/>
                  <w:vMerge/>
                  <w:tcBorders>
                    <w:top w:val="none" w:color="000000" w:sz="4"/>
                    <w:left w:val="single" w:color="000000" w:sz="4"/>
                    <w:bottom w:val="single" w:color="000000" w:sz="4"/>
                    <w:right w:val="single" w:color="000000" w:sz="4"/>
                  </w:tcBorders>
                </w:tcPr>
                <w:p/>
              </w:tc>
              <w:tc>
                <w:tcPr>
                  <w:tcW w:type="dxa" w:w="368"/>
                  <w:gridSpan w:val="2"/>
                  <w:vMerge/>
                  <w:tcBorders>
                    <w:top w:val="none" w:color="000000" w:sz="4"/>
                    <w:left w:val="none" w:color="000000" w:sz="4"/>
                    <w:bottom w:val="single" w:color="000000" w:sz="4"/>
                    <w:right w:val="single" w:color="000000" w:sz="4"/>
                  </w:tcBorders>
                </w:tcPr>
                <w:p/>
              </w:tc>
              <w:tc>
                <w:tcPr>
                  <w:tcW w:type="dxa" w:w="1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混油高枝锯</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台</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r>
            <w:tr>
              <w:tc>
                <w:tcPr>
                  <w:tcW w:type="dxa" w:w="212"/>
                  <w:vMerge/>
                  <w:tcBorders>
                    <w:top w:val="none" w:color="000000" w:sz="4"/>
                    <w:left w:val="single" w:color="000000" w:sz="4"/>
                    <w:bottom w:val="single" w:color="000000" w:sz="4"/>
                    <w:right w:val="single" w:color="000000" w:sz="4"/>
                  </w:tcBorders>
                </w:tcPr>
                <w:p/>
              </w:tc>
              <w:tc>
                <w:tcPr>
                  <w:tcW w:type="dxa" w:w="368"/>
                  <w:gridSpan w:val="2"/>
                  <w:vMerge/>
                  <w:tcBorders>
                    <w:top w:val="none" w:color="000000" w:sz="4"/>
                    <w:left w:val="none" w:color="000000" w:sz="4"/>
                    <w:bottom w:val="single" w:color="000000" w:sz="4"/>
                    <w:right w:val="single" w:color="000000" w:sz="4"/>
                  </w:tcBorders>
                </w:tcPr>
                <w:p/>
              </w:tc>
              <w:tc>
                <w:tcPr>
                  <w:tcW w:type="dxa" w:w="1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柴油碎枝机</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台</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bl>
          <w:p>
            <w:pPr>
              <w:pStyle w:val="null3"/>
              <w:jc w:val="both"/>
            </w:pPr>
            <w:r>
              <w:rPr>
                <w:rFonts w:ascii="仿宋_GB2312" w:hAnsi="仿宋_GB2312" w:cs="仿宋_GB2312" w:eastAsia="仿宋_GB2312"/>
                <w:sz w:val="24"/>
                <w:b/>
                <w:color w:val="000000"/>
              </w:rPr>
              <w:t>货物主要参数说明：</w:t>
            </w:r>
          </w:p>
          <w:tbl>
            <w:tblPr>
              <w:tblBorders>
                <w:top w:val="none" w:color="000000" w:sz="4"/>
                <w:left w:val="none" w:color="000000" w:sz="4"/>
                <w:bottom w:val="none" w:color="000000" w:sz="4"/>
                <w:right w:val="none" w:color="000000" w:sz="4"/>
                <w:insideH w:val="none"/>
                <w:insideV w:val="none"/>
              </w:tblBorders>
            </w:tblPr>
            <w:tblGrid>
              <w:gridCol w:w="191"/>
              <w:gridCol w:w="469"/>
              <w:gridCol w:w="1256"/>
              <w:gridCol w:w="626"/>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序号</w:t>
                  </w:r>
                </w:p>
              </w:tc>
              <w:tc>
                <w:tcPr>
                  <w:tcW w:type="dxa" w:w="4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名称</w:t>
                  </w:r>
                </w:p>
              </w:tc>
              <w:tc>
                <w:tcPr>
                  <w:tcW w:type="dxa" w:w="1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技术参数</w:t>
                  </w:r>
                </w:p>
              </w:tc>
              <w:tc>
                <w:tcPr>
                  <w:tcW w:type="dxa" w:w="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商务要求</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农药</w:t>
                  </w:r>
                </w:p>
              </w:tc>
              <w:tc>
                <w:tcPr>
                  <w:tcW w:type="dxa" w:w="1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 有效成分：甲基硫菌灵含量≥70%2. 剂型：可湿性粉剂 / 悬浮剂（满足 GB/T 23552 等国家标准）3. 质量标准：符合《农药登记管理办法》，提供农业农村部核发的《农药登记证》4. 包装：≥500g / 袋（密封防潮）</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 供货时提供产品质检报告</w:t>
                  </w:r>
                </w:p>
                <w:p>
                  <w:pPr>
                    <w:pStyle w:val="null3"/>
                  </w:pPr>
                  <w:r>
                    <w:rPr>
                      <w:rFonts w:ascii="仿宋_GB2312" w:hAnsi="仿宋_GB2312" w:cs="仿宋_GB2312" w:eastAsia="仿宋_GB2312"/>
                      <w:sz w:val="24"/>
                    </w:rPr>
                    <w:t>2. 质保期：产品有效期≥2 年</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生物多样肥</w:t>
                  </w:r>
                </w:p>
              </w:tc>
              <w:tc>
                <w:tcPr>
                  <w:tcW w:type="dxa" w:w="1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 总养分（N+P₂O₅+K₂O）≥40%★2. 有机质含量≥5%3. 有效活菌数≥0.2 亿 /g（菌种包含枯草芽孢杆菌、地衣芽孢杆菌等，符合 NY884-2012 标准）4. 含中微量元素≥5 种，含复合微生物菌群5. 重金属限量：总砷≤15mg/kg、总镉≤3mg/kg 等（符合 GB/T 13080）6. 剂型：颗粒剂 / 粉剂</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 提供《肥料登记证》检测报告</w:t>
                  </w:r>
                </w:p>
                <w:p>
                  <w:pPr>
                    <w:pStyle w:val="null3"/>
                  </w:pPr>
                  <w:r>
                    <w:rPr>
                      <w:rFonts w:ascii="仿宋_GB2312" w:hAnsi="仿宋_GB2312" w:cs="仿宋_GB2312" w:eastAsia="仿宋_GB2312"/>
                      <w:sz w:val="24"/>
                    </w:rPr>
                    <w:t>2. 包装：≥40kg / 袋</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喷雾器</w:t>
                  </w:r>
                </w:p>
              </w:tc>
              <w:tc>
                <w:tcPr>
                  <w:tcW w:type="dxa" w:w="1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 类型：电动背负式2. 药箱容量≥16L3. 工作电压：DC12V4. 雾化方式：高压雾化，喷头数量≥4 个（可调节）5. 续航时间：满电连续工作≥2 小时6. 符合 GB/T 10395《安全防护》</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 提供产品合格证及检测报告</w:t>
                  </w:r>
                </w:p>
                <w:p>
                  <w:pPr>
                    <w:pStyle w:val="null3"/>
                  </w:pPr>
                  <w:r>
                    <w:rPr>
                      <w:rFonts w:ascii="仿宋_GB2312" w:hAnsi="仿宋_GB2312" w:cs="仿宋_GB2312" w:eastAsia="仿宋_GB2312"/>
                      <w:sz w:val="24"/>
                    </w:rPr>
                    <w:t>2. 质保期：1 年（电机、电池等核心部件）</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太阳能诱虫灯</w:t>
                  </w:r>
                </w:p>
              </w:tc>
              <w:tc>
                <w:tcPr>
                  <w:tcW w:type="dxa" w:w="1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 符合 GB/T 24689.2-2017《植物保护机械 杀虫灯》标准2. 工作原理：频振诱控技术3. 核心配置：12W 频振灯管，整灯功率≤38W4. 电源：DC12V（太阳能供电，连续阴雨天≥3 天可工作）5. 功能：具备光控、雨控功能6. 防护等级：IP65</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 提供检测报告2. 质保期：2 年（太阳能板、灯管）</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旋</w:t>
                  </w:r>
                  <w:r>
                    <w:rPr>
                      <w:rFonts w:ascii="仿宋_GB2312" w:hAnsi="仿宋_GB2312" w:cs="仿宋_GB2312" w:eastAsia="仿宋_GB2312"/>
                      <w:sz w:val="24"/>
                    </w:rPr>
                    <w:t>耕机</w:t>
                  </w:r>
                </w:p>
              </w:tc>
              <w:tc>
                <w:tcPr>
                  <w:tcW w:type="dxa" w:w="1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 整机质量≥48kg2. 配套功率≥4.2kW3. 作业幅宽≥900mm4. 传动方式：齿轮传动5. 符合</w:t>
                  </w:r>
                  <w:r>
                    <w:rPr>
                      <w:rFonts w:ascii="仿宋_GB2312" w:hAnsi="仿宋_GB2312" w:cs="仿宋_GB2312" w:eastAsia="仿宋_GB2312"/>
                      <w:sz w:val="24"/>
                    </w:rPr>
                    <w:t>GB/T 24675</w:t>
                  </w:r>
                  <w:r>
                    <w:rPr>
                      <w:rFonts w:ascii="仿宋_GB2312" w:hAnsi="仿宋_GB2312" w:cs="仿宋_GB2312" w:eastAsia="仿宋_GB2312"/>
                      <w:sz w:val="24"/>
                    </w:rPr>
                    <w:t>《农业机械</w:t>
                  </w:r>
                  <w:r>
                    <w:rPr>
                      <w:rFonts w:ascii="仿宋_GB2312" w:hAnsi="仿宋_GB2312" w:cs="仿宋_GB2312" w:eastAsia="仿宋_GB2312"/>
                      <w:sz w:val="24"/>
                    </w:rPr>
                    <w:t xml:space="preserve">  </w:t>
                  </w:r>
                  <w:r>
                    <w:rPr>
                      <w:rFonts w:ascii="仿宋_GB2312" w:hAnsi="仿宋_GB2312" w:cs="仿宋_GB2312" w:eastAsia="仿宋_GB2312"/>
                      <w:sz w:val="24"/>
                    </w:rPr>
                    <w:t>旋耕机</w:t>
                  </w:r>
                  <w:r>
                    <w:rPr>
                      <w:rFonts w:ascii="仿宋_GB2312" w:hAnsi="仿宋_GB2312" w:cs="仿宋_GB2312" w:eastAsia="仿宋_GB2312"/>
                      <w:sz w:val="24"/>
                    </w:rPr>
                    <w:t>》</w:t>
                  </w:r>
                  <w:r>
                    <w:rPr>
                      <w:rFonts w:ascii="仿宋_GB2312" w:hAnsi="仿宋_GB2312" w:cs="仿宋_GB2312" w:eastAsia="仿宋_GB2312"/>
                      <w:sz w:val="24"/>
                    </w:rPr>
                    <w:t>标准</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 提供检测报告</w:t>
                  </w:r>
                </w:p>
                <w:p>
                  <w:pPr>
                    <w:pStyle w:val="null3"/>
                  </w:pPr>
                  <w:r>
                    <w:rPr>
                      <w:rFonts w:ascii="仿宋_GB2312" w:hAnsi="仿宋_GB2312" w:cs="仿宋_GB2312" w:eastAsia="仿宋_GB2312"/>
                      <w:sz w:val="24"/>
                    </w:rPr>
                    <w:t>2. 质保期：1 年（供货时提供）</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割草机</w:t>
                  </w:r>
                </w:p>
              </w:tc>
              <w:tc>
                <w:tcPr>
                  <w:tcW w:type="dxa" w:w="1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 发动机型号：单缸四冲程汽油机（功率≥2.0kW）2. 供油系统：化油器3. 作业幅宽≥400mm4. 符合 GB/T14176《林业机械以汽油机为动力的便携式割灌机和割草机》</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 提供产品说明书及合格证2、产品检测报告3、质保期：1 年（供货时提供）</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混油高枝锯</w:t>
                  </w:r>
                </w:p>
              </w:tc>
              <w:tc>
                <w:tcPr>
                  <w:tcW w:type="dxa" w:w="1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 类型：侧挂式 / 背负式2. 导板尺寸：≥26×31.5mm3. 排量≥25cc4. 最大切深≥50mm5. 转速≥5000r/min6. 符合GB/T20888《林业机械》</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 提供检验报告及营业执照2. 质保期：1 年（供货时提供）</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柴油碎枝机</w:t>
                  </w:r>
                </w:p>
              </w:tc>
              <w:tc>
                <w:tcPr>
                  <w:tcW w:type="dxa" w:w="1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 配套动力≥12kW2. 主轴转速≥2200r/min3. 喂入口宽度≥300mm4. 最大切碎直径≥6cm5. 符合 DG/T198《枝条切碎机》6、动力7.5kw</w:t>
                  </w:r>
                </w:p>
              </w:tc>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 提供检测报告及营业执照2. 质保期：1 年（供货时提供）</w:t>
                  </w:r>
                </w:p>
              </w:tc>
            </w:tr>
          </w:tbl>
          <w:p>
            <w:pPr>
              <w:pStyle w:val="null3"/>
              <w:spacing w:before="285" w:after="285"/>
              <w:jc w:val="both"/>
              <w:outlineLvl w:va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配备人员需满足本项目各专业要求，具有科学性、合理性安排。</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配备设施设备需满足本项目各专业要求，具有科学性、合理性安排。</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30日历天（具体以合同签订为准）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达到国家现行法律法规及行业要求合格标准。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项目整形修剪实施结束后，乙方报请甲方验收，并经主管部门验收合格后，在甲方处办理百分之三十（30%）项目款的支付手续</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项目整体实施结束后，乙方报请甲方验收，并经主管部门验收合格后，在甲方处办理百分之六十七（67%）项目款的支付手续</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剩余合同总金额百分之三（3%）作为质保金，自终验结束之日起12个月内，在无索赔争议的情况下，在甲方处办理百分之三（3%）项目款的支付手续</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甲乙双方所有争议应先采取友好协商的解决方式。协商未达成一致意见的，甲乙双方均可向甲方所在地有管辖权的人民法院提起诉讼。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1、若因财政预算调整、资金拨付延迟等不可归责于甲方的原因导致付款逾期，甲方需提前3个工作日书面通知乙方，不承担违约责任，付款时限按财政资金实际到位时间顺延; 2、支付金额严格遵循“财政审核金额≤合同约定金额≤预算金额”，若实际服务量与合同约定有差异，按财政审核确认的实际金额支付，结余财政资金按规定退回; 3、乙方账户需为合同约定的对公账户，财政支付系统将校验账户信息一致性，不得变更账户或要求支付至个人账户。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提供2023年度或2024年度供应 商的财务报告或出具开标前六个 月内其基本账户银行出具的资信 证明；</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供应商须具有独立承担民事责任能力的法人或其他组织，提供营业执照或事业单位法人证书或自然人的身份证明；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提供2023年度或2024年度供应商的财务报告或出具开标前六个月内其基本账户银行出具的资信证明；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供应商需提供投标截至日期前6个月内任意一个月的完税凭证或税务机关开具的完税证明（任意税种）；依法免税的应提供相关文件证明；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投标人需提供投标截止日期前6个月内任意一个月的社会保障资金缴存单据或社保机构开具的社会保险参保缴费情况证明；依法不需要缴纳社会保障资金的应提供相关文件证明；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供应商须提供具有履行本合同所必需的设备和专业技术能力的声明、参加政府采购活动前3年内在经营活动中没有重大违法记录的书面承诺；</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供应商应在投标截止日前未被列入失信被执行人、重大税收违法失信主体名单、政府采购严重违法失信行为记录名单（处罚期限届满的除外）（以“信用中国”网站 （www.creditchina.gov.cn）、中国政府采购网（www.ccgp.gov.cn）查询结果为准，提供网站截图并加盖投标人公章）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1.磋商响应文件的签署盖章：磋商响应文件上法定代表人或其授权代表人的签字齐全并加盖公章 。 2.磋商响应文件格式：应符合“磋商响应文件格式”要求 。 3.报价唯一：只能有一个有效报价，不得提交选择性报价，按要求提交二次或多次报价，且每轮报价不超过采购预算金额或最高限价或磋商小组认为低于成本价的报价 。 4.磋商响应文件内容：磋商响应文件内容符合磋商文件要求。 5.对磋商文件响应程度：要求商务条款全部响应，不能有采购人不能接受的附加条件 。 6.服务期：应满足磋商文件中要求的服务期。 7.磋商有效期：应满足磋商文件中的规定。</w:t>
            </w:r>
          </w:p>
        </w:tc>
        <w:tc>
          <w:tcPr>
            <w:tcW w:type="dxa" w:w="1661"/>
          </w:tcPr>
          <w:p>
            <w:pPr>
              <w:pStyle w:val="null3"/>
            </w:pPr>
            <w:r>
              <w:rPr>
                <w:rFonts w:ascii="仿宋_GB2312" w:hAnsi="仿宋_GB2312" w:cs="仿宋_GB2312" w:eastAsia="仿宋_GB2312"/>
              </w:rPr>
              <w:t>服务内容及服务邀请应答表 分项报价表 中小企业声明函 商务应答表 报价表 其他相关资料.docx 业绩一览表 响应文件封面 设备一览表 资格证明文件 项目团队人员 项目实施总体方案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提供的服务方案，包括但不限于：①整形修剪、病虫害防治、抚育管理实施方案；②供货组织安排、详细的人员、运输、配送措施；③供应渠道正常、质量保证、检验等手续合法有效；④重点与难点分析及解决措施等。 二、评审标准： 1、完善性：方案必须全面，对评审内容中的各项要求有详细阐述； 2、可实施性：切合本项目实际情况，提出步骤清晰、合理的方案； 3、针对性：方案能够紧扣项目实际情况，内容科学合理。 三、赋分标准： 1、整形修剪、病虫害防治、抚育管理实施方案：满足全部评审标准得4.5分，每存在一处缺陷扣1.5分，扣完为止。 2、供货组织安排、详细的人员、运输、配送措施：满足全部评审标准得4.5分，每存在一处缺陷扣1.5分，扣完为止。 3、供应渠道正常、质量保证、检验等手续合法有效：满足全部评审标准得4.5分，每存在一处缺陷扣1.5分，扣完为止。 4、重点与难点分析及解决措施：满足全部评审标准得4.5分，每存在一处缺陷扣1.5分，扣完为止。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设备一览表</w:t>
            </w:r>
          </w:p>
          <w:p>
            <w:pPr>
              <w:pStyle w:val="null3"/>
            </w:pPr>
            <w:r>
              <w:rPr>
                <w:rFonts w:ascii="仿宋_GB2312" w:hAnsi="仿宋_GB2312" w:cs="仿宋_GB2312" w:eastAsia="仿宋_GB2312"/>
              </w:rPr>
              <w:t>项目实施总体方案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产品技术参数响应</w:t>
            </w:r>
          </w:p>
        </w:tc>
        <w:tc>
          <w:tcPr>
            <w:tcW w:type="dxa" w:w="2492"/>
          </w:tcPr>
          <w:p>
            <w:pPr>
              <w:pStyle w:val="null3"/>
            </w:pPr>
            <w:r>
              <w:rPr>
                <w:rFonts w:ascii="仿宋_GB2312" w:hAnsi="仿宋_GB2312" w:cs="仿宋_GB2312" w:eastAsia="仿宋_GB2312"/>
              </w:rPr>
              <w:t>所投产品技术指标清楚，技术指标响应全部满足磋商文件技术参数要求得10分。 未标注“★”的每有一项不满足磋商文件技术参数要求的扣 0.2分，标注“★”的每有一项不满足磋商文件技术参数要求的扣 0.4分扣完为止。（注：提供相关证明材料，未提供不得分）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项目实施总体方案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设备一览表</w:t>
            </w:r>
          </w:p>
        </w:tc>
      </w:tr>
      <w:tr>
        <w:tc>
          <w:tcPr>
            <w:tcW w:type="dxa" w:w="831"/>
            <w:vMerge/>
          </w:tcPr>
          <w:p/>
        </w:tc>
        <w:tc>
          <w:tcPr>
            <w:tcW w:type="dxa" w:w="1661"/>
          </w:tcPr>
          <w:p>
            <w:pPr>
              <w:pStyle w:val="null3"/>
            </w:pPr>
            <w:r>
              <w:rPr>
                <w:rFonts w:ascii="仿宋_GB2312" w:hAnsi="仿宋_GB2312" w:cs="仿宋_GB2312" w:eastAsia="仿宋_GB2312"/>
              </w:rPr>
              <w:t>项目实施进度保障</w:t>
            </w:r>
          </w:p>
        </w:tc>
        <w:tc>
          <w:tcPr>
            <w:tcW w:type="dxa" w:w="2492"/>
          </w:tcPr>
          <w:p>
            <w:pPr>
              <w:pStyle w:val="null3"/>
            </w:pPr>
            <w:r>
              <w:rPr>
                <w:rFonts w:ascii="仿宋_GB2312" w:hAnsi="仿宋_GB2312" w:cs="仿宋_GB2312" w:eastAsia="仿宋_GB2312"/>
              </w:rPr>
              <w:t>一、评审内容： 供应商针对本项目提供的进度保障方案，包括但不限于①进度计划安排；②实施计划保障措施；③工期补救措施等。 二、评审标准： 1、完善性：方案必须全面，对评审内容中的各项要求有详细阐述； 2、可实施性：切合本项目实际情况，提出步骤清晰、合理的方案； 3、针对性：方案能够紧扣项目实际情况，内容科学合理。 三、赋分标准： 1、进度计划安排：满足全部评审标准得3分，每存在一处缺陷扣1分，扣完为止。 2、实施计划保障措施：满足全部评审标准得3分，每存在一处缺陷扣1分，扣完为止。 3、工期补救措施：满足全部评审标准得3分，每存在一处缺陷扣1分，扣完为止。 说明：用其他项目方案或与项目需求不匹配及其他不利于项目实施的等任意一种情形。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项目实施总体方案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设备一览表</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一、评审内容： 供应商针对本项目提供的质量保障方案，包括但不限于：①质量保障措施；②质量保障承诺；③备品备件不足的紧急措施。 二、评审标准： 1、完善性：方案必须全面，对评审内容中的各项要求有详细阐述； 2、可实施性：切合本项目实际情况，提出步骤清晰、合理的方案； 3、针对性：方案能够紧扣项目实际情况，内容科学合理。 三、赋分标准： 1、质量保障措施：满足全部评审标准得3分，每存在一处缺陷扣1分，扣完为止。 2、质量保障承诺：满足全部评审标准得3分，每存在一处缺陷扣1分，扣完为止。 3、备品备件不足的紧急措施：满足全部评审标准得3分，每存在一处缺陷扣1分，扣完为止。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项目实施总体方案</w:t>
            </w:r>
          </w:p>
          <w:p>
            <w:pPr>
              <w:pStyle w:val="null3"/>
            </w:pPr>
            <w:r>
              <w:rPr>
                <w:rFonts w:ascii="仿宋_GB2312" w:hAnsi="仿宋_GB2312" w:cs="仿宋_GB2312" w:eastAsia="仿宋_GB2312"/>
              </w:rPr>
              <w:t>设备一览表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应急保障</w:t>
            </w:r>
          </w:p>
        </w:tc>
        <w:tc>
          <w:tcPr>
            <w:tcW w:type="dxa" w:w="2492"/>
          </w:tcPr>
          <w:p>
            <w:pPr>
              <w:pStyle w:val="null3"/>
            </w:pPr>
            <w:r>
              <w:rPr>
                <w:rFonts w:ascii="仿宋_GB2312" w:hAnsi="仿宋_GB2312" w:cs="仿宋_GB2312" w:eastAsia="仿宋_GB2312"/>
              </w:rPr>
              <w:t>一、评审内容：供应商针对本项目提供应急预案，包括但不限于：①应急响应时限；②应急处理措施等。 二、评审标准： 1、完善性：内容必须全面，对评审内容中的各项要求有详细阐述； 2、可实施性：切合本项目实际情况，提出步骤清晰、合理的方案； 3、针对性：内容能够紧扣项目实际情况，科学合理。 三、赋分标准： 1、应急响应时限：满足全部评审标准得3分，每存在一处缺陷扣1分，扣完为止。 2、应急处理措施：满足全部评审标准得3分，每存在一处缺陷扣1分，扣完为止。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项目实施总体方案</w:t>
            </w:r>
          </w:p>
          <w:p>
            <w:pPr>
              <w:pStyle w:val="null3"/>
            </w:pPr>
            <w:r>
              <w:rPr>
                <w:rFonts w:ascii="仿宋_GB2312" w:hAnsi="仿宋_GB2312" w:cs="仿宋_GB2312" w:eastAsia="仿宋_GB2312"/>
              </w:rPr>
              <w:t>设备一览表</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供应商针对本项目有具体的培训方案，包括但不限于：①培训目标、计划；②培训方案等。 二、评审标准: 1、完善性：内容必须全面，对评审内容中的各项要求有详细阐述； 2、可实施性：切合本项目实际情况，提出步骤清晰、合理的方案； 3、针对性：内容能够紧扣项目实际情况，科学合理。 三、赋分标准： 1、培训目标、计划：满足全部评审标准得3分，每存在一处缺陷扣1分，扣完为止。 2、培训方案：满足全部评审标准得3分，每存在一处缺陷扣1分，扣完为止。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项目实施总体方案</w:t>
            </w:r>
          </w:p>
          <w:p>
            <w:pPr>
              <w:pStyle w:val="null3"/>
            </w:pPr>
            <w:r>
              <w:rPr>
                <w:rFonts w:ascii="仿宋_GB2312" w:hAnsi="仿宋_GB2312" w:cs="仿宋_GB2312" w:eastAsia="仿宋_GB2312"/>
              </w:rPr>
              <w:t>设备一览表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组织架构</w:t>
            </w:r>
          </w:p>
        </w:tc>
        <w:tc>
          <w:tcPr>
            <w:tcW w:type="dxa" w:w="2492"/>
          </w:tcPr>
          <w:p>
            <w:pPr>
              <w:pStyle w:val="null3"/>
            </w:pPr>
            <w:r>
              <w:rPr>
                <w:rFonts w:ascii="仿宋_GB2312" w:hAnsi="仿宋_GB2312" w:cs="仿宋_GB2312" w:eastAsia="仿宋_GB2312"/>
              </w:rPr>
              <w:t>一、评审内容： 供应商的组织架构，包括但不限于：①项目组织管理制度；②人员配置及职责划分等； 二、评审标准: 1、完善性：内容必须全面，对评审内容中的各项要求有详细阐述； 2、可实施性：切合本项目实际情况，提出步骤清晰、合理的方案； 3、针对性：内容能够紧扣项目实际情况，科学合理。 三、赋分标准： 1、项目组织管理制度：满足全部评审标准得3分，每存在一处缺陷扣1分，扣完为止。 2、人员配置职责划分：满足全部评审标准得3分，每存在一处缺陷扣1分，扣完为止。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项目实施总体方案</w:t>
            </w:r>
          </w:p>
          <w:p>
            <w:pPr>
              <w:pStyle w:val="null3"/>
            </w:pPr>
            <w:r>
              <w:rPr>
                <w:rFonts w:ascii="仿宋_GB2312" w:hAnsi="仿宋_GB2312" w:cs="仿宋_GB2312" w:eastAsia="仿宋_GB2312"/>
              </w:rPr>
              <w:t>设备一览表</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1、拟派项目负责人：具备林业相关专业中级职称得2分，具备林业相关专业高级及以上职称得3分；本项最高分值为3分。 2、团队成员（不含项目负责人）：每配备一名具备林业相关专业初级职称人员的得1分，每配备一名具备林业相关专业中级及以上职称人员 2 分；本项最高分值为6分。 说明：提供相关证书复印件。未提供或未按要求提供证明材料的不得分。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项目团队人员</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供应商针对本项目提供售后服务方案，包括但不限于：①售后服务承诺；②售后服务响应时限；③售后服务保障措施等。 二、评审标准: 1、完善性：内容必须全面，对评审内容中的各项要求有详细阐述； 2、可实施性：切合本项目实际情况，提出步骤清晰、合理的方案； 3、针对性：内容能够紧扣项目实际情况，科学合理。 三、赋分标准： 1、售后服务承诺：满足全部评审标准得3分，每存在一处缺陷扣1分，扣完为止。 2、售后服务响应时限：满足全部评审标准得3分，每存在一处缺陷扣1分，扣完为止。 3、售后服务保障措施：满足全部评审标准得3分，每存在一处缺陷扣1分，扣完为止。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项目实施总体方案</w:t>
            </w:r>
          </w:p>
          <w:p>
            <w:pPr>
              <w:pStyle w:val="null3"/>
            </w:pPr>
            <w:r>
              <w:rPr>
                <w:rFonts w:ascii="仿宋_GB2312" w:hAnsi="仿宋_GB2312" w:cs="仿宋_GB2312" w:eastAsia="仿宋_GB2312"/>
              </w:rPr>
              <w:t>设备一览表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提供2022年1月1日至今类似项目合同（以合同签订日期为准），每提供1个得2分，最高得8分。备注：提供合同复印件。</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（1）供应商的投标总价超过招标预算金额的视为废标，不再参与下一步评审。 （2）评标基准价：所有有效投标报价的最低报价作为评标基准价。 （3）磋商报价得分=（磋商基准价/最终磋商报价）×10的公式计算得分。 符合竞争性磋商文件规定的监狱企业、残疾人企业优惠条件的投标人，价格给予政策扣除，用扣除后的价格参与评审。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详见附件：项目实施总体方案</w:t>
      </w:r>
    </w:p>
    <w:p>
      <w:pPr>
        <w:pStyle w:val="null3"/>
        <w:ind w:firstLine="960"/>
      </w:pPr>
      <w:r>
        <w:rPr>
          <w:rFonts w:ascii="仿宋_GB2312" w:hAnsi="仿宋_GB2312" w:cs="仿宋_GB2312" w:eastAsia="仿宋_GB2312"/>
        </w:rPr>
        <w:t>详见附件：项目团队人员</w:t>
      </w:r>
    </w:p>
    <w:p>
      <w:pPr>
        <w:pStyle w:val="null3"/>
        <w:ind w:firstLine="960"/>
      </w:pPr>
      <w:r>
        <w:rPr>
          <w:rFonts w:ascii="仿宋_GB2312" w:hAnsi="仿宋_GB2312" w:cs="仿宋_GB2312" w:eastAsia="仿宋_GB2312"/>
        </w:rPr>
        <w:t>详见附件：设备一览表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