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版本号：HYGH2025-ZCCS-111620251201002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周至县沙河南岸高压线落地迁改工程设计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HYGH2025-ZCCS-1116</w:t>
      </w:r>
      <w:r>
        <w:br/>
      </w:r>
      <w:r>
        <w:br/>
      </w:r>
      <w:r>
        <w:br/>
      </w:r>
    </w:p>
    <w:p>
      <w:pPr>
        <w:pStyle w:val="null3"/>
        <w:jc w:val="center"/>
        <w:outlineLvl w:val="2"/>
      </w:pPr>
      <w:r>
        <w:rPr>
          <w:rFonts w:ascii="仿宋_GB2312" w:hAnsi="仿宋_GB2312" w:cs="仿宋_GB2312" w:eastAsia="仿宋_GB2312"/>
          <w:sz w:val="28"/>
          <w:b/>
        </w:rPr>
        <w:t>周至县沙河产业经济带管理委员会</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周至县沙河产业经济带管理委员会</w:t>
      </w:r>
      <w:r>
        <w:rPr>
          <w:rFonts w:ascii="仿宋_GB2312" w:hAnsi="仿宋_GB2312" w:cs="仿宋_GB2312" w:eastAsia="仿宋_GB2312"/>
        </w:rPr>
        <w:t>委托，拟对</w:t>
      </w:r>
      <w:r>
        <w:rPr>
          <w:rFonts w:ascii="仿宋_GB2312" w:hAnsi="仿宋_GB2312" w:cs="仿宋_GB2312" w:eastAsia="仿宋_GB2312"/>
        </w:rPr>
        <w:t>周至县沙河南岸高压线落地迁改工程设计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周至县沙河南岸高压线落地迁改工程设计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周至县沙河南岸高压线落地迁改工程设计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4、税收缴纳证明：提供磋商截止日前近一年内至少一个月的纳税证明或纳税证明，依法免税的单位应提供相关证明材料；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6、资质证明：供应商须具备工程设计综合资质甲级或电力行业乙级及以上资质或工程设计电力行业（送、变电工程）乙级及以上资质；</w:t>
      </w:r>
    </w:p>
    <w:p>
      <w:pPr>
        <w:pStyle w:val="null3"/>
      </w:pPr>
      <w:r>
        <w:rPr>
          <w:rFonts w:ascii="仿宋_GB2312" w:hAnsi="仿宋_GB2312" w:cs="仿宋_GB2312" w:eastAsia="仿宋_GB2312"/>
        </w:rPr>
        <w:t>7、主体信用记录查询：供应商应通过“信用中国”网站（www.creditchina.gov.cn）、中国政府采购网（www.ccgp.gov.cn）查询相关主体信用记录；</w:t>
      </w:r>
    </w:p>
    <w:p>
      <w:pPr>
        <w:pStyle w:val="null3"/>
      </w:pPr>
      <w:r>
        <w:rPr>
          <w:rFonts w:ascii="仿宋_GB2312" w:hAnsi="仿宋_GB2312" w:cs="仿宋_GB2312" w:eastAsia="仿宋_GB2312"/>
        </w:rPr>
        <w:t>8、说明及承诺书：提供具有履行本合同所必须的设备和专业技术能力的说明及承诺书；</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周至县沙河产业经济带管理委员会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周至县城工业路东段（沙河示范段）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周至县沙河产业经济带管理委员会经办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18991313818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周至县沙河产业经济带管理委员会</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周至县沙河产业经济带管理委员会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周至县沙河产业经济带管理委员会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周至县沙河南岸高压线落地迁改工程设计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1,112,400.00</w:t>
      </w:r>
    </w:p>
    <w:p>
      <w:pPr>
        <w:pStyle w:val="null3"/>
      </w:pPr>
      <w:r>
        <w:rPr>
          <w:rFonts w:ascii="仿宋_GB2312" w:hAnsi="仿宋_GB2312" w:cs="仿宋_GB2312" w:eastAsia="仿宋_GB2312"/>
        </w:rPr>
        <w:t>采购包最高限价（元）: 1,112,400.00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周至县沙河南岸高压线落地迁改工程设计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标的名称：周至县沙河南岸高压线落地迁改工程设计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因周至沙河南岸地块开发利用，与国网西安供电公司所属的周至变出线的架空线路</w:t>
            </w:r>
            <w:r>
              <w:rPr>
                <w:rFonts w:ascii="仿宋_GB2312" w:hAnsi="仿宋_GB2312" w:cs="仿宋_GB2312" w:eastAsia="仿宋_GB2312"/>
                <w:sz w:val="24"/>
              </w:rPr>
              <w:t>(220kV 周汤线、220kV 周佛线、110kV 骆周 I 线、 35kV 周楼线、35kV 周黑 I、Ⅱ线)存在高压线路影响问题,影响</w:t>
            </w:r>
            <w:r>
              <w:rPr>
                <w:rFonts w:ascii="仿宋_GB2312" w:hAnsi="仿宋_GB2312" w:cs="仿宋_GB2312" w:eastAsia="仿宋_GB2312"/>
                <w:sz w:val="24"/>
              </w:rPr>
              <w:t>区域内开发</w:t>
            </w:r>
            <w:r>
              <w:rPr>
                <w:rFonts w:ascii="仿宋_GB2312" w:hAnsi="仿宋_GB2312" w:cs="仿宋_GB2312" w:eastAsia="仿宋_GB2312"/>
                <w:sz w:val="24"/>
              </w:rPr>
              <w:t>建设。</w:t>
            </w:r>
            <w:r>
              <w:rPr>
                <w:rFonts w:ascii="仿宋_GB2312" w:hAnsi="仿宋_GB2312" w:cs="仿宋_GB2312" w:eastAsia="仿宋_GB2312"/>
                <w:sz w:val="24"/>
              </w:rPr>
              <w:t>现需要</w:t>
            </w:r>
            <w:r>
              <w:rPr>
                <w:rFonts w:ascii="仿宋_GB2312" w:hAnsi="仿宋_GB2312" w:cs="仿宋_GB2312" w:eastAsia="仿宋_GB2312"/>
                <w:sz w:val="24"/>
              </w:rPr>
              <w:t>对涉及到的架空线路进行落地迁改。迁改后的高压线路需沿新建电缆隧道内敷设。</w:t>
            </w:r>
          </w:p>
          <w:p>
            <w:pPr>
              <w:pStyle w:val="null3"/>
              <w:ind w:firstLine="480"/>
              <w:jc w:val="both"/>
            </w:pPr>
            <w:r>
              <w:rPr>
                <w:rFonts w:ascii="仿宋_GB2312" w:hAnsi="仿宋_GB2312" w:cs="仿宋_GB2312" w:eastAsia="仿宋_GB2312"/>
                <w:sz w:val="24"/>
              </w:rPr>
              <w:t>本次建设项目场地位于西安市周至县沙河公园南侧。拟建电缆隧道南起终南大道（南横线），沿终南大道（南横线）北侧农田向西，再沿现状</w:t>
            </w:r>
            <w:r>
              <w:rPr>
                <w:rFonts w:ascii="仿宋_GB2312" w:hAnsi="仿宋_GB2312" w:cs="仿宋_GB2312" w:eastAsia="仿宋_GB2312"/>
                <w:sz w:val="24"/>
              </w:rPr>
              <w:t>G108 国道东侧向北敷设，止于沙河公园南侧已有电缆隧道</w:t>
            </w:r>
            <w:r>
              <w:rPr>
                <w:rFonts w:ascii="仿宋_GB2312" w:hAnsi="仿宋_GB2312" w:cs="仿宋_GB2312" w:eastAsia="仿宋_GB2312"/>
                <w:sz w:val="24"/>
              </w:rPr>
              <w:t>接口井</w:t>
            </w:r>
            <w:r>
              <w:rPr>
                <w:rFonts w:ascii="仿宋_GB2312" w:hAnsi="仿宋_GB2312" w:cs="仿宋_GB2312" w:eastAsia="仿宋_GB2312"/>
                <w:sz w:val="24"/>
              </w:rPr>
              <w:t>处。</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本</w:t>
            </w:r>
            <w:r>
              <w:rPr>
                <w:rFonts w:ascii="仿宋_GB2312" w:hAnsi="仿宋_GB2312" w:cs="仿宋_GB2312" w:eastAsia="仿宋_GB2312"/>
                <w:sz w:val="24"/>
              </w:rPr>
              <w:t>次</w:t>
            </w:r>
            <w:r>
              <w:rPr>
                <w:rFonts w:ascii="仿宋_GB2312" w:hAnsi="仿宋_GB2312" w:cs="仿宋_GB2312" w:eastAsia="仿宋_GB2312"/>
                <w:sz w:val="24"/>
              </w:rPr>
              <w:t>工程</w:t>
            </w:r>
            <w:r>
              <w:rPr>
                <w:rFonts w:ascii="仿宋_GB2312" w:hAnsi="仿宋_GB2312" w:cs="仿宋_GB2312" w:eastAsia="仿宋_GB2312"/>
                <w:sz w:val="24"/>
              </w:rPr>
              <w:t>在</w:t>
            </w:r>
            <w:r>
              <w:rPr>
                <w:rFonts w:ascii="仿宋_GB2312" w:hAnsi="仿宋_GB2312" w:cs="仿宋_GB2312" w:eastAsia="仿宋_GB2312"/>
                <w:sz w:val="24"/>
              </w:rPr>
              <w:t>项目拟建区域内对</w:t>
            </w:r>
            <w:r>
              <w:rPr>
                <w:rFonts w:ascii="仿宋_GB2312" w:hAnsi="仿宋_GB2312" w:cs="仿宋_GB2312" w:eastAsia="仿宋_GB2312"/>
                <w:sz w:val="24"/>
              </w:rPr>
              <w:t>架空线路进行迁改落地</w:t>
            </w:r>
            <w:r>
              <w:rPr>
                <w:rFonts w:ascii="仿宋_GB2312" w:hAnsi="仿宋_GB2312" w:cs="仿宋_GB2312" w:eastAsia="仿宋_GB2312"/>
                <w:sz w:val="24"/>
              </w:rPr>
              <w:t>的隧道或沟道进行土建专项设计。</w:t>
            </w:r>
          </w:p>
          <w:p>
            <w:pPr>
              <w:pStyle w:val="null3"/>
              <w:ind w:firstLine="480"/>
              <w:jc w:val="both"/>
            </w:pPr>
            <w:r>
              <w:rPr>
                <w:rFonts w:ascii="仿宋_GB2312" w:hAnsi="仿宋_GB2312" w:cs="仿宋_GB2312" w:eastAsia="仿宋_GB2312"/>
                <w:sz w:val="24"/>
              </w:rPr>
              <w:t>拟</w:t>
            </w:r>
            <w:r>
              <w:rPr>
                <w:rFonts w:ascii="仿宋_GB2312" w:hAnsi="仿宋_GB2312" w:cs="仿宋_GB2312" w:eastAsia="仿宋_GB2312"/>
                <w:sz w:val="24"/>
              </w:rPr>
              <w:t>新建</w:t>
            </w:r>
            <w:r>
              <w:rPr>
                <w:rFonts w:ascii="仿宋_GB2312" w:hAnsi="仿宋_GB2312" w:cs="仿宋_GB2312" w:eastAsia="仿宋_GB2312"/>
                <w:sz w:val="24"/>
              </w:rPr>
              <w:t>2.0m×2.1m 电缆隧道约2.1km，过防洪渠顶管0.05km。另外新建1.0×1.0m 电缆沟道约0.05km</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用于连接电缆终端杆与电缆隧道</w:t>
            </w:r>
            <w:r>
              <w:rPr>
                <w:rFonts w:ascii="仿宋_GB2312" w:hAnsi="仿宋_GB2312" w:cs="仿宋_GB2312" w:eastAsia="仿宋_GB2312"/>
                <w:sz w:val="24"/>
              </w:rPr>
              <w:t>。</w:t>
            </w:r>
            <w:r>
              <w:rPr>
                <w:rFonts w:ascii="仿宋_GB2312" w:hAnsi="仿宋_GB2312" w:cs="仿宋_GB2312" w:eastAsia="仿宋_GB2312"/>
                <w:sz w:val="24"/>
              </w:rPr>
              <w:t>最终具体数据依据设计单位现场勘查为准。</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主要内容包括但不限于：</w:t>
            </w:r>
            <w:r>
              <w:rPr>
                <w:rFonts w:ascii="仿宋_GB2312" w:hAnsi="仿宋_GB2312" w:cs="仿宋_GB2312" w:eastAsia="仿宋_GB2312"/>
                <w:sz w:val="24"/>
              </w:rPr>
              <w:t>（</w:t>
            </w:r>
            <w:r>
              <w:rPr>
                <w:rFonts w:ascii="仿宋_GB2312" w:hAnsi="仿宋_GB2312" w:cs="仿宋_GB2312" w:eastAsia="仿宋_GB2312"/>
                <w:sz w:val="24"/>
              </w:rPr>
              <w:t>1）编制设计说明书（包括设计总说明和各专业的设计说明）、初步设计图纸、主要设备及材料表和工程概算并配合财政评审； （2）编制施工图图纸并配合财政评审； （3）在工程施工阶段，解答施工单位针对工程设计的相关问题； （4）配合完成工程竣工结算； （5）其他需要设计单位配合完成的工作。 设计工作过程中严格执行国家、省市的各项法律、法规及规章制度。</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1、设计周期：自合同签订之日起</w:t>
            </w:r>
            <w:r>
              <w:rPr>
                <w:rFonts w:ascii="仿宋_GB2312" w:hAnsi="仿宋_GB2312" w:cs="仿宋_GB2312" w:eastAsia="仿宋_GB2312"/>
                <w:sz w:val="24"/>
              </w:rPr>
              <w:t>30日历天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2、服务期限：自合同签订之日起至</w:t>
            </w:r>
            <w:r>
              <w:rPr>
                <w:rFonts w:ascii="仿宋_GB2312" w:hAnsi="仿宋_GB2312" w:cs="仿宋_GB2312" w:eastAsia="仿宋_GB2312"/>
                <w:sz w:val="24"/>
              </w:rPr>
              <w:t>施工竣工验收合格后</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服务标准</w:t>
            </w:r>
          </w:p>
          <w:p>
            <w:pPr>
              <w:pStyle w:val="null3"/>
              <w:spacing w:after="120"/>
              <w:ind w:firstLine="480"/>
              <w:jc w:val="left"/>
            </w:pPr>
            <w:r>
              <w:rPr>
                <w:rFonts w:ascii="仿宋_GB2312" w:hAnsi="仿宋_GB2312" w:cs="仿宋_GB2312" w:eastAsia="仿宋_GB2312"/>
                <w:sz w:val="24"/>
                <w:color w:val="000000"/>
              </w:rPr>
              <w:t>符合现行的国家标准或国家行政部门颁布的法律法规、规章制度及行业相关标准。</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设计标准或规范</w:t>
            </w:r>
          </w:p>
          <w:p>
            <w:pPr>
              <w:pStyle w:val="null3"/>
              <w:ind w:firstLine="480"/>
              <w:jc w:val="both"/>
            </w:pPr>
            <w:r>
              <w:rPr>
                <w:rFonts w:ascii="仿宋_GB2312" w:hAnsi="仿宋_GB2312" w:cs="仿宋_GB2312" w:eastAsia="仿宋_GB2312"/>
                <w:sz w:val="24"/>
              </w:rPr>
              <w:t>包括但不限于《混凝土结构设计规范》</w:t>
            </w:r>
            <w:r>
              <w:rPr>
                <w:rFonts w:ascii="仿宋_GB2312" w:hAnsi="仿宋_GB2312" w:cs="仿宋_GB2312" w:eastAsia="仿宋_GB2312"/>
                <w:sz w:val="24"/>
              </w:rPr>
              <w:t>(GB50010-2010)、《城市电力电缆线路设计技术规定》(DL/T 5221-2016)、《电力工程电缆设计标准》(GB 50217-2018)、《城市工程管线综合规划规范》（GB50289-2016）、《建筑结构荷载规范》（GB50009-2012）、《砌体结构设计规范》（GB50003-2011）、《建筑地基基础设计规范》（GB50007-2011） 、《建筑地基处理技术规范》（JGJ79-2012）；现行的国家标准或国家行政部门颁布的法律法规、规章制度等行业标准。</w:t>
            </w:r>
          </w:p>
          <w:p>
            <w:pPr>
              <w:pStyle w:val="null3"/>
              <w:ind w:firstLine="480"/>
              <w:jc w:val="both"/>
            </w:pPr>
            <w:r>
              <w:rPr>
                <w:rFonts w:ascii="仿宋_GB2312" w:hAnsi="仿宋_GB2312" w:cs="仿宋_GB2312" w:eastAsia="仿宋_GB2312"/>
                <w:sz w:val="24"/>
              </w:rPr>
              <w:t>（二）成果要求</w:t>
            </w:r>
          </w:p>
          <w:p>
            <w:pPr>
              <w:pStyle w:val="null3"/>
              <w:ind w:firstLine="480"/>
              <w:jc w:val="both"/>
            </w:pPr>
            <w:r>
              <w:rPr>
                <w:rFonts w:ascii="仿宋_GB2312" w:hAnsi="仿宋_GB2312" w:cs="仿宋_GB2312" w:eastAsia="仿宋_GB2312"/>
                <w:sz w:val="24"/>
              </w:rPr>
              <w:t>1、供应商应向采购人提供12套纸质资料及1套电子资料。</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需按照采购人提供的设计条件、设计要求、设计标准进行设计。设计完成后需经采购人审核同意后出具正式初步设计及施工图设计。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设计周期：自合同签订之日起30日历天。服务期限：自合同签订之日起至施工竣工验收合格后。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满足国家相应的标准、规范，达到验收标准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预付款，待资金下达后支付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土建部分设计的可行性研究，论证通过后，待资金下达后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初步设计编制完成，审核通过，待资金下达后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施工图设计编制后，审核通过，待资金下达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供应商须具备工程设计综合资质甲级或电力行业乙级及以上资质或工程设计电力行业（送、变电工程）乙级及以上资质；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提供具有履行本合同所必须的设备和专业技术能力的说明及承诺书；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设计技术工作大纲</w:t>
            </w:r>
          </w:p>
        </w:tc>
        <w:tc>
          <w:tcPr>
            <w:tcW w:type="dxa" w:w="2492"/>
          </w:tcPr>
          <w:p>
            <w:pPr>
              <w:pStyle w:val="null3"/>
            </w:pPr>
            <w:r>
              <w:rPr>
                <w:rFonts w:ascii="仿宋_GB2312" w:hAnsi="仿宋_GB2312" w:cs="仿宋_GB2312" w:eastAsia="仿宋_GB2312"/>
              </w:rPr>
              <w:t>工作大纲详实合理，满足设计服务要求，能有效降低后期设计变更的风险，内容齐全、计划安排合理。 工作大纲安排详实合理、可行性强，得7分； 工作大纲安排较合理、可行性较强，得5分； 工作大纲安排合理性一般，可行性一般，得3分； 工作大纲合理性、可行性不高，得2分； 工作大纲表述笼统模糊，得1分；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有相应的设计思路和理念，功能设计合理，能根据采购人的实际情况进行设计，方案有较强的实用性和适应性，符合采购人要求。 方案详细、合理、可行性高，得10分； 方案较详细、较合理、可行性较高，得7分； 方案较详细，但合理性和可行性一般，得5分； 方案不详细、合理性和可行性不高，得3分； 方案表述模糊，得1分；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设计进度控制计划</w:t>
            </w:r>
          </w:p>
        </w:tc>
        <w:tc>
          <w:tcPr>
            <w:tcW w:type="dxa" w:w="2492"/>
          </w:tcPr>
          <w:p>
            <w:pPr>
              <w:pStyle w:val="null3"/>
            </w:pPr>
            <w:r>
              <w:rPr>
                <w:rFonts w:ascii="仿宋_GB2312" w:hAnsi="仿宋_GB2312" w:cs="仿宋_GB2312" w:eastAsia="仿宋_GB2312"/>
              </w:rPr>
              <w:t>设计周期与工作进度计划安排合理、切实可行、保障措施可靠。 计划详实合理、可行性强、保障措施完善，得10分； 计划较合理、可行性较强、保障措施较为完善，得7分； 计划的合理和可行性一般、或者保障措施一般，得5分； 计划合理性和可行性不高、保障措施不完善，得3分； 计划内容模糊或有明显缺漏，得1分；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设计质量控制措施</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供应商质量保证体系合理完善，质量控制程序科学合理，具有针对性和可行性，能有效保障设计成果质量。 措施合理、可行性强、针对性高，得10分； 措施较合理、可行性较强、针对性较高，得7分； 措施合理性一般，可行性一般、针对性一般，得5分； 措施合理性不高、可行性不高、针对性不高，得3分； 措施表述模糊或有明显缺漏，得1分；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技术人员配备情况</w:t>
            </w:r>
          </w:p>
        </w:tc>
        <w:tc>
          <w:tcPr>
            <w:tcW w:type="dxa" w:w="2492"/>
          </w:tcPr>
          <w:p>
            <w:pPr>
              <w:pStyle w:val="null3"/>
            </w:pPr>
            <w:r>
              <w:rPr>
                <w:rFonts w:ascii="仿宋_GB2312" w:hAnsi="仿宋_GB2312" w:cs="仿宋_GB2312" w:eastAsia="仿宋_GB2312"/>
              </w:rPr>
              <w:t>本项目组拟派项目负责人具备注册电气工程（供配电/发输变电专业）证书，得2分；项目组人员工作安排框架， 项目组人员配备充足，安排合理、可行性高，得8分； 项目组人员配备较充足，安排较合理、可行性较高，得6分； 项目组人员配备较充足，但安排不合理、可行性不高，得4分； 项目组人员不充足，安排不合理、可行性不高，得2分； 项目组人员配备方案有明显缺漏，得1分；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重点及难点控制措施</w:t>
            </w:r>
          </w:p>
        </w:tc>
        <w:tc>
          <w:tcPr>
            <w:tcW w:type="dxa" w:w="2492"/>
          </w:tcPr>
          <w:p>
            <w:pPr>
              <w:pStyle w:val="null3"/>
            </w:pPr>
            <w:r>
              <w:rPr>
                <w:rFonts w:ascii="仿宋_GB2312" w:hAnsi="仿宋_GB2312" w:cs="仿宋_GB2312" w:eastAsia="仿宋_GB2312"/>
              </w:rPr>
              <w:t>供应商针对本项目重点及难点问题理解到位、分析科学合理，提出具体措施。 措施理解到位、分析科学合理、控制措施针对性强，得10分； 措施理解较为到位、分析较合理、控制措施针对性较强，得7分； 措施理解较为到位、分析较合理但控制措施针对性较弱，得5分； 措施理解不到位、分析不合理、控制措施针对性弱，得3分； 没有措施理解或分析、控制措施表述模糊或有明显缺漏，得1分；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供应商根据磋商文件并结合项目情况对本项目提出合理化建议。 建议考虑周全、合理、可行性高，得5分； 建议较周全、较合理、可行性较高，得4分； 建议不周全、不合理、可行性不高，得3分； 建议表述笼统模糊，得1分； 没有则不得分。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供应商针对本项目提供切实可行的服务承诺，对项目可能出现的问题有具体的应对方案并能够及时响应。 承诺合理且针对性强、对项目可能出现的问题分析合理、应对及时有效，得8分； 承诺合理性和针对性较强、对项目可能出现的问题分析较合理、应对较及时较有效，得6分； 承诺合理性和针对性一般、对项目可能出现的问题分析合理性一般、应对方案针对性一般，得4分； 承诺合理性和针对性不高、对项目可能出现的问题分析不到位、应对方案针对性不高，得2分； 承诺内容简单笼统，得1分；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供应商提供磋商截止日前三年的类似项目业绩，每提供1份得2分，最高得10分，未提供不计分。 评审依据：以成交通知书或合同协议书扫描件加盖公章为准，业绩时间以成交通知书落款时间或合同协议书签订时间为准。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1.经初审合格的磋商文件，其最终报价为有效报价。对符合政策性扣减的有效磋商报价进行政策性扣减，并依据扣减后的价格（评审价格）进行价格评审。 2.满足磋商文件要求且最终报价最低的供应商的价格为磋商基准价，其价格分为满分。其他供应商的价格分按照下列公式计算：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