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版本号：XHZB-25-02120251128001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周至县骆峪镇尚兴村农田排涝工程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XHZB-25-021</w:t>
      </w:r>
      <w:r>
        <w:br/>
      </w:r>
      <w:r>
        <w:br/>
      </w:r>
      <w:r>
        <w:br/>
      </w:r>
    </w:p>
    <w:p>
      <w:pPr>
        <w:pStyle w:val="null3"/>
        <w:jc w:val="center"/>
        <w:outlineLvl w:val="2"/>
      </w:pPr>
      <w:r>
        <w:rPr>
          <w:rFonts w:ascii="仿宋_GB2312" w:hAnsi="仿宋_GB2312" w:cs="仿宋_GB2312" w:eastAsia="仿宋_GB2312"/>
          <w:sz w:val="28"/>
          <w:b/>
        </w:rPr>
        <w:t>西安市周至县水利工作队</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西安市周至县水利工作队</w:t>
      </w:r>
      <w:r>
        <w:rPr>
          <w:rFonts w:ascii="仿宋_GB2312" w:hAnsi="仿宋_GB2312" w:cs="仿宋_GB2312" w:eastAsia="仿宋_GB2312"/>
        </w:rPr>
        <w:t>委托，拟对</w:t>
      </w:r>
      <w:r>
        <w:rPr>
          <w:rFonts w:ascii="仿宋_GB2312" w:hAnsi="仿宋_GB2312" w:cs="仿宋_GB2312" w:eastAsia="仿宋_GB2312"/>
        </w:rPr>
        <w:t>周至县骆峪镇尚兴村农田排涝工程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XHZB-25-021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周至县骆峪镇尚兴村农田排涝工程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改造西沟排涝干沟排水渠597m，骆峪村排涝干沟清淤342m，拆除重建生产桥3座。通过工程修建，实现尚兴村衣田排水顺畅，确保农田生产安全。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采购包1（周至县骆峪镇尚兴村农田排涝工程）：属于专门面向中小企业采购。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合法人员：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p>
      <w:pPr>
        <w:pStyle w:val="null3"/>
      </w:pPr>
      <w:r>
        <w:rPr>
          <w:rFonts w:ascii="仿宋_GB2312" w:hAnsi="仿宋_GB2312" w:cs="仿宋_GB2312" w:eastAsia="仿宋_GB2312"/>
        </w:rPr>
        <w:t>2、资质要求：具备水利水电工程施工总承包三级及以上资质，且具备有效的安全生产许可证；</w:t>
      </w:r>
    </w:p>
    <w:p>
      <w:pPr>
        <w:pStyle w:val="null3"/>
      </w:pPr>
      <w:r>
        <w:rPr>
          <w:rFonts w:ascii="仿宋_GB2312" w:hAnsi="仿宋_GB2312" w:cs="仿宋_GB2312" w:eastAsia="仿宋_GB2312"/>
        </w:rPr>
        <w:t>3、拟派项目经理要求：拟派项目经理具备水利水电工程专业二级及以上注册建造师资格，并具备安全生产考核合格证书（B证），且无在建项目；</w:t>
      </w:r>
    </w:p>
    <w:p>
      <w:pPr>
        <w:pStyle w:val="null3"/>
      </w:pPr>
      <w:r>
        <w:rPr>
          <w:rFonts w:ascii="仿宋_GB2312" w:hAnsi="仿宋_GB2312" w:cs="仿宋_GB2312" w:eastAsia="仿宋_GB2312"/>
        </w:rPr>
        <w:t>4、信用查询：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p>
      <w:pPr>
        <w:pStyle w:val="null3"/>
      </w:pPr>
      <w:r>
        <w:rPr>
          <w:rFonts w:ascii="仿宋_GB2312" w:hAnsi="仿宋_GB2312" w:cs="仿宋_GB2312" w:eastAsia="仿宋_GB2312"/>
        </w:rPr>
        <w:t>5、联合体：本项目（合同包）不接受联合体磋商。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西安市周至县水利工作队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周至县二曲街道老城西街98号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赵海龙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029-87152773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西安曲江新区雁塔南路金辉环球中心C座513室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万仕彬、耿萍、黄菲、田丰原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029-88185520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采购包1：689,286.00元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文件规定，以中标价为基数，按照工程类计算收取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西安市周至县水利工作队</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西安市周至县水利工作队</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西安市周至县水利工作队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联系人：万仕彬、耿萍、黄菲、田丰原</w:t>
      </w:r>
    </w:p>
    <w:p>
      <w:pPr>
        <w:pStyle w:val="null3"/>
      </w:pPr>
      <w:r>
        <w:rPr>
          <w:rFonts w:ascii="仿宋_GB2312" w:hAnsi="仿宋_GB2312" w:cs="仿宋_GB2312" w:eastAsia="仿宋_GB2312"/>
        </w:rPr>
        <w:t>联系电话：029-88185520</w:t>
      </w:r>
    </w:p>
    <w:p>
      <w:pPr>
        <w:pStyle w:val="null3"/>
      </w:pPr>
      <w:r>
        <w:rPr>
          <w:rFonts w:ascii="仿宋_GB2312" w:hAnsi="仿宋_GB2312" w:cs="仿宋_GB2312" w:eastAsia="仿宋_GB2312"/>
        </w:rPr>
        <w:t>地址：西安曲江新区雁塔南路金辉环球中心C座513室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689,286.00</w:t>
      </w:r>
    </w:p>
    <w:p>
      <w:pPr>
        <w:pStyle w:val="null3"/>
      </w:pPr>
      <w:r>
        <w:rPr>
          <w:rFonts w:ascii="仿宋_GB2312" w:hAnsi="仿宋_GB2312" w:cs="仿宋_GB2312" w:eastAsia="仿宋_GB2312"/>
        </w:rPr>
        <w:t>采购包最高限价（元）: 689,286.00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周至县骆峪镇尚兴村农田排涝工程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689,286.00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标的名称：周至县骆峪镇尚兴村农田排涝工程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1、工程规模及建设内容：改造西沟排涝干沟排水渠597m，骆峪村排涝干沟清淤342m，拆除重建生产桥3座。通过工程修建，实现尚兴村衣田排水顺畅，确保农田生产安全。</w:t>
            </w:r>
          </w:p>
          <w:p>
            <w:pPr>
              <w:pStyle w:val="null3"/>
              <w:jc w:val="both"/>
            </w:pPr>
            <w:r>
              <w:rPr>
                <w:rFonts w:ascii="仿宋_GB2312" w:hAnsi="仿宋_GB2312" w:cs="仿宋_GB2312" w:eastAsia="仿宋_GB2312"/>
                <w:sz w:val="21"/>
              </w:rPr>
              <w:t>2、工期：合同签订后</w:t>
            </w:r>
            <w:r>
              <w:rPr>
                <w:rFonts w:ascii="仿宋_GB2312" w:hAnsi="仿宋_GB2312" w:cs="仿宋_GB2312" w:eastAsia="仿宋_GB2312"/>
                <w:sz w:val="21"/>
              </w:rPr>
              <w:t>60日历天</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3、质量标准：达到国家现行行业施工验收规范“合格”标准。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、工程结算与支付：本项目工程竣工验收合格后，按合同总价款的</w:t>
            </w:r>
            <w:r>
              <w:rPr>
                <w:rFonts w:ascii="仿宋_GB2312" w:hAnsi="仿宋_GB2312" w:cs="仿宋_GB2312" w:eastAsia="仿宋_GB2312"/>
                <w:sz w:val="21"/>
              </w:rPr>
              <w:t>97％进行支付，留取3%质保金，工程竣工验收合格，运行一年后无质量问题，支付剩余3％质保金。</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、工程量清单</w:t>
            </w:r>
            <w:r>
              <w:rPr>
                <w:rFonts w:ascii="仿宋_GB2312" w:hAnsi="仿宋_GB2312" w:cs="仿宋_GB2312" w:eastAsia="仿宋_GB2312"/>
                <w:sz w:val="21"/>
              </w:rPr>
              <w:t>（含编制说明）及图纸</w:t>
            </w:r>
            <w:r>
              <w:rPr>
                <w:rFonts w:ascii="仿宋_GB2312" w:hAnsi="仿宋_GB2312" w:cs="仿宋_GB2312" w:eastAsia="仿宋_GB2312"/>
                <w:sz w:val="21"/>
              </w:rPr>
              <w:t>：另附</w:t>
            </w:r>
            <w:r>
              <w:rPr>
                <w:rFonts w:ascii="仿宋_GB2312" w:hAnsi="仿宋_GB2312" w:cs="仿宋_GB2312" w:eastAsia="仿宋_GB2312"/>
                <w:sz w:val="21"/>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在施工期间，注意人员安全，加强安全措施，并对施工人员进行安全教育。施工人员持证上岗。2.请中标（成交）人在领取中标（成交）通知书时将纸质版投标（响应）文件正本1册、副本2册打印胶装盖章后提交至采购代理机构处，以便采购人进行留存备案等工作，中标（成交）人应保证投标（响应）文件文件纸质版内容与平台上传电子版内容完全一致，否则将承担一切法律责任。3.其他商务要求：详见采购文件合同条款及格式。4.中小微企业（建筑业）划型标准：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照要求在资格证明材料中提供：1）具有独立承担民事责任的能力且具备向采购人提供工程施工的企业法人、事业法人、其他组织或者自然人，企业法人应提供统一社会信用代码的营业执照；事业法人应提供统一社会信用代码的事业单位法人证书；其他组织应提供合法证明文件；自然人提供身份证明文件；2）财务状况报告：提供2024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3）税收缴纳证明：自2024年12月1日以来已缴纳的至少一个月的纳税凭证或完税证明（任意税种），完税证明上应有代收机构或税务机关的公章；依法免税的供应商应提供相关文件证明；4）社保缴纳证明：自2024年12月1日以来已缴存的至少一个月的社会保障资金缴存单据或社保机构开具的社会保险参保缴费情况证明；依法不需要缴纳社会保障资金的供应商应提供相关文件证明，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会计报告（至少包括审计报告、资产负债表和利润表，成立时间至提交响应文件截止时间不足一年的可提供成立后任意时段的资产负债表），或其磋商前三个月内基本存款账户开户银行出具的资信证明及基本存款账户开户许可证或开户银行打印的含有企业基本存款账户编号的《基本存款账户信息》，并进行电子签章。</w:t>
            </w:r>
          </w:p>
        </w:tc>
        <w:tc>
          <w:tcPr>
            <w:tcW w:type="dxa" w:w="1661"/>
          </w:tcPr>
          <w:p>
            <w:pPr>
              <w:pStyle w:val="null3"/>
            </w:pPr>
            <w:r>
              <w:rPr>
                <w:rFonts w:ascii="仿宋_GB2312" w:hAnsi="仿宋_GB2312" w:cs="仿宋_GB2312" w:eastAsia="仿宋_GB2312"/>
              </w:rPr>
              <w:t>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本项目为专门面向中小企业采购（监狱企业、残疾人福利性单位视同小型、微型企业）。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授权合法人员</w:t>
            </w:r>
          </w:p>
        </w:tc>
        <w:tc>
          <w:tcPr>
            <w:tcW w:type="dxa" w:w="3322"/>
          </w:tcPr>
          <w:p>
            <w:pPr>
              <w:pStyle w:val="null3"/>
            </w:pPr>
            <w:r>
              <w:rPr>
                <w:rFonts w:ascii="仿宋_GB2312" w:hAnsi="仿宋_GB2312" w:cs="仿宋_GB2312" w:eastAsia="仿宋_GB2312"/>
              </w:rPr>
              <w:t>供应商应授权合法的人员通过电子化交易系统以在线方式进行磋商，其中法定代表人直接参加磋商时电子磋商响应文件须附法定代表人身份证明；法定代表人授权委托代理人参加磋商时电子磋商响应文件须附法定代表人授权委托书；</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具备水利水电工程施工总承包三级及以上资质，且具备有效的安全生产许可证；</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拟派项目经理具备水利水电工程专业二级及以上注册建造师资格，并具备安全生产考核合格证书（B证），且无在建项目；</w:t>
            </w:r>
          </w:p>
        </w:tc>
        <w:tc>
          <w:tcPr>
            <w:tcW w:type="dxa" w:w="1661"/>
          </w:tcPr>
          <w:p>
            <w:pPr>
              <w:pStyle w:val="null3"/>
            </w:pPr>
            <w:r>
              <w:rPr>
                <w:rFonts w:ascii="仿宋_GB2312" w:hAnsi="仿宋_GB2312" w:cs="仿宋_GB2312" w:eastAsia="仿宋_GB2312"/>
              </w:rPr>
              <w:t>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现场系统查验）</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本项目（合同包）不接受联合体磋商。</w:t>
            </w:r>
          </w:p>
        </w:tc>
        <w:tc>
          <w:tcPr>
            <w:tcW w:type="dxa" w:w="1661"/>
          </w:tcPr>
          <w:p>
            <w:pPr>
              <w:pStyle w:val="null3"/>
            </w:pPr>
            <w:r>
              <w:rPr>
                <w:rFonts w:ascii="仿宋_GB2312" w:hAnsi="仿宋_GB2312" w:cs="仿宋_GB2312" w:eastAsia="仿宋_GB2312"/>
              </w:rPr>
              <w:t>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w:t>
            </w:r>
          </w:p>
        </w:tc>
        <w:tc>
          <w:tcPr>
            <w:tcW w:type="dxa" w:w="3322"/>
          </w:tcPr>
          <w:p>
            <w:pPr>
              <w:pStyle w:val="null3"/>
            </w:pPr>
            <w:r>
              <w:rPr>
                <w:rFonts w:ascii="仿宋_GB2312" w:hAnsi="仿宋_GB2312" w:cs="仿宋_GB2312" w:eastAsia="仿宋_GB2312"/>
              </w:rPr>
              <w:t>磋商响应文件构成是否有重大缺项，是否按照磋商文件要求的格式编写磋商响应文件；</w:t>
            </w:r>
          </w:p>
        </w:tc>
        <w:tc>
          <w:tcPr>
            <w:tcW w:type="dxa" w:w="1661"/>
          </w:tcPr>
          <w:p>
            <w:pPr>
              <w:pStyle w:val="null3"/>
            </w:pPr>
            <w:r>
              <w:rPr>
                <w:rFonts w:ascii="仿宋_GB2312" w:hAnsi="仿宋_GB2312" w:cs="仿宋_GB2312" w:eastAsia="仿宋_GB2312"/>
              </w:rPr>
              <w:t>已标价工程量清单 中小企业声明函 资格证明材料 近年完成类似项目情况表 商务条款偏离表 响应文件封面 残疾人福利性单位声明函 报价函 标的清单 陕西省政府采购供应商拒绝政府采购领域商业贿赂承诺书 施工方案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w:t>
            </w:r>
          </w:p>
        </w:tc>
        <w:tc>
          <w:tcPr>
            <w:tcW w:type="dxa" w:w="3322"/>
          </w:tcPr>
          <w:p>
            <w:pPr>
              <w:pStyle w:val="null3"/>
            </w:pPr>
            <w:r>
              <w:rPr>
                <w:rFonts w:ascii="仿宋_GB2312" w:hAnsi="仿宋_GB2312" w:cs="仿宋_GB2312" w:eastAsia="仿宋_GB2312"/>
              </w:rPr>
              <w:t>磋商响应文件的签署、加盖印章是否合格、有效；提供的各种证明文件、数据、资料是否真实、有效。磋商有效期是否满足磋商文件规定，授权期限是否满足磋商文件中规定的有效期；</w:t>
            </w:r>
          </w:p>
        </w:tc>
        <w:tc>
          <w:tcPr>
            <w:tcW w:type="dxa" w:w="1661"/>
          </w:tcPr>
          <w:p>
            <w:pPr>
              <w:pStyle w:val="null3"/>
            </w:pPr>
            <w:r>
              <w:rPr>
                <w:rFonts w:ascii="仿宋_GB2312" w:hAnsi="仿宋_GB2312" w:cs="仿宋_GB2312" w:eastAsia="仿宋_GB2312"/>
              </w:rPr>
              <w:t>已标价工程量清单 中小企业声明函 资格证明材料 近年完成类似项目情况表 商务条款偏离表 响应文件封面 残疾人福利性单位声明函 报价函 标的清单 陕西省政府采购供应商拒绝政府采购领域商业贿赂承诺书 施工方案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w:t>
            </w:r>
          </w:p>
        </w:tc>
        <w:tc>
          <w:tcPr>
            <w:tcW w:type="dxa" w:w="3322"/>
          </w:tcPr>
          <w:p>
            <w:pPr>
              <w:pStyle w:val="null3"/>
            </w:pPr>
            <w:r>
              <w:rPr>
                <w:rFonts w:ascii="仿宋_GB2312" w:hAnsi="仿宋_GB2312" w:cs="仿宋_GB2312" w:eastAsia="仿宋_GB2312"/>
              </w:rPr>
              <w:t>对于采购文件要求响应的内容磋商响应文件是否做到全部响应；</w:t>
            </w:r>
          </w:p>
        </w:tc>
        <w:tc>
          <w:tcPr>
            <w:tcW w:type="dxa" w:w="1661"/>
          </w:tcPr>
          <w:p>
            <w:pPr>
              <w:pStyle w:val="null3"/>
            </w:pPr>
            <w:r>
              <w:rPr>
                <w:rFonts w:ascii="仿宋_GB2312" w:hAnsi="仿宋_GB2312" w:cs="仿宋_GB2312" w:eastAsia="仿宋_GB2312"/>
              </w:rPr>
              <w:t>已标价工程量清单 中小企业声明函 资格证明材料 近年完成类似项目情况表 商务条款偏离表 响应文件封面 残疾人福利性单位声明函 报价函 标的清单 陕西省政府采购供应商拒绝政府采购领域商业贿赂承诺书 施工方案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磋商总报价</w:t>
            </w:r>
          </w:p>
        </w:tc>
        <w:tc>
          <w:tcPr>
            <w:tcW w:type="dxa" w:w="3322"/>
          </w:tcPr>
          <w:p>
            <w:pPr>
              <w:pStyle w:val="null3"/>
            </w:pPr>
            <w:r>
              <w:rPr>
                <w:rFonts w:ascii="仿宋_GB2312" w:hAnsi="仿宋_GB2312" w:cs="仿宋_GB2312" w:eastAsia="仿宋_GB2312"/>
              </w:rPr>
              <w:t>磋商总报价是否未超过最高限价；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施工工期</w:t>
            </w:r>
          </w:p>
        </w:tc>
        <w:tc>
          <w:tcPr>
            <w:tcW w:type="dxa" w:w="3322"/>
          </w:tcPr>
          <w:p>
            <w:pPr>
              <w:pStyle w:val="null3"/>
            </w:pPr>
            <w:r>
              <w:rPr>
                <w:rFonts w:ascii="仿宋_GB2312" w:hAnsi="仿宋_GB2312" w:cs="仿宋_GB2312" w:eastAsia="仿宋_GB2312"/>
              </w:rPr>
              <w:t>是否符合磋商文件要求；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磋商文件规定的其他要求</w:t>
            </w:r>
          </w:p>
        </w:tc>
        <w:tc>
          <w:tcPr>
            <w:tcW w:type="dxa" w:w="3322"/>
          </w:tcPr>
          <w:p>
            <w:pPr>
              <w:pStyle w:val="null3"/>
            </w:pPr>
            <w:r>
              <w:rPr>
                <w:rFonts w:ascii="仿宋_GB2312" w:hAnsi="仿宋_GB2312" w:cs="仿宋_GB2312" w:eastAsia="仿宋_GB2312"/>
              </w:rPr>
              <w:t>是否满足磋商文件规定的其他要求。</w:t>
            </w:r>
          </w:p>
        </w:tc>
        <w:tc>
          <w:tcPr>
            <w:tcW w:type="dxa" w:w="1661"/>
          </w:tcPr>
          <w:p>
            <w:pPr>
              <w:pStyle w:val="null3"/>
            </w:pPr>
            <w:r>
              <w:rPr>
                <w:rFonts w:ascii="仿宋_GB2312" w:hAnsi="仿宋_GB2312" w:cs="仿宋_GB2312" w:eastAsia="仿宋_GB2312"/>
              </w:rPr>
              <w:t>已标价工程量清单 中小企业声明函 资格证明材料 近年完成类似项目情况表 商务条款偏离表 响应文件封面 残疾人福利性单位声明函 报价函 标的清单 陕西省政府采购供应商拒绝政府采购领域商业贿赂承诺书 施工方案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对本项目特性了解透彻，实施方案先进可行，与项目实际结合紧密，对施工具有高度的指导性和可操作性，得7.0分； 对项目特性了解较好，实施方案较完整，对施工具有一定的指导性和可操作性，得6.0分； 对项目特性基本了解，实施方案基本可行，对施工的指导性和可操作性一般，得5.0分； 对项目特性了解较差，实施方案较差，对施工的指导性和可操作性较差，得3.0分； 对项目特性了解不清，实施方案简单笼统，对施工没有指导性和可操作性，得1.0分；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工程质量管理体系及保证措施</w:t>
            </w:r>
          </w:p>
        </w:tc>
        <w:tc>
          <w:tcPr>
            <w:tcW w:type="dxa" w:w="2492"/>
          </w:tcPr>
          <w:p>
            <w:pPr>
              <w:pStyle w:val="null3"/>
            </w:pPr>
            <w:r>
              <w:rPr>
                <w:rFonts w:ascii="仿宋_GB2312" w:hAnsi="仿宋_GB2312" w:cs="仿宋_GB2312" w:eastAsia="仿宋_GB2312"/>
              </w:rPr>
              <w:t>质量目标明确，管理体系健全，保证措施全面，得7.0分； 质量目标较明确，管理体系较全，保证措施较全面，得6.0分； 质量目标基本明确，管理体系及保证措施一般，得5.0分； 质量目标较差，管理体系及保证措施较差，得3.0分； 质量目标不明确，管理体系不全，保证措施不利，得1.0分；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安全文明施工保证体系及保证措施</w:t>
            </w:r>
          </w:p>
        </w:tc>
        <w:tc>
          <w:tcPr>
            <w:tcW w:type="dxa" w:w="2492"/>
          </w:tcPr>
          <w:p>
            <w:pPr>
              <w:pStyle w:val="null3"/>
            </w:pPr>
            <w:r>
              <w:rPr>
                <w:rFonts w:ascii="仿宋_GB2312" w:hAnsi="仿宋_GB2312" w:cs="仿宋_GB2312" w:eastAsia="仿宋_GB2312"/>
              </w:rPr>
              <w:t>安全文明施工保证体系健全，保证措施全面，得7.0分； 安全文明施工保证体系较全面，保证措施较全面，得6.0分； 安全文明施工保证体系及保证措施一般，得5.0分； 安全文明施工保证体系及保证措施较差，得3.0分； 安全文明施工保证体系不全，保证措施不利，得1.0分；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进度计划保障措施</w:t>
            </w:r>
          </w:p>
        </w:tc>
        <w:tc>
          <w:tcPr>
            <w:tcW w:type="dxa" w:w="2492"/>
          </w:tcPr>
          <w:p>
            <w:pPr>
              <w:pStyle w:val="null3"/>
            </w:pPr>
            <w:r>
              <w:rPr>
                <w:rFonts w:ascii="仿宋_GB2312" w:hAnsi="仿宋_GB2312" w:cs="仿宋_GB2312" w:eastAsia="仿宋_GB2312"/>
              </w:rPr>
              <w:t>进度计划保障措施全面、合理，对工作推进有高度的指导性，得7.0分； 进度计划保障措施较全面、较合理，对工作推进有一定的指导性，得6.0分； 进度计划保障措施一般，对工作推进的指导性一般，得5.0分； 进度计划保障措施较差，对工作推进的指导性较差，得3.0分； 进度计划保障措施不利，对工作推进没有指导性，得1.0分；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人员专业配备齐全、数量合理，得7.0分； 人员专业配备较齐全、数量较合理，得6.0分； 人员专业配备基本满足、数量基本合理，得5.0分； 人员专业配备较差、数量较差，得3.0分； 人员专业配备不全、数量不足，得1.0分；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拟投入本项目的主要机具设备</w:t>
            </w:r>
          </w:p>
        </w:tc>
        <w:tc>
          <w:tcPr>
            <w:tcW w:type="dxa" w:w="2492"/>
          </w:tcPr>
          <w:p>
            <w:pPr>
              <w:pStyle w:val="null3"/>
            </w:pPr>
            <w:r>
              <w:rPr>
                <w:rFonts w:ascii="仿宋_GB2312" w:hAnsi="仿宋_GB2312" w:cs="仿宋_GB2312" w:eastAsia="仿宋_GB2312"/>
              </w:rPr>
              <w:t>机具设备类型全面、数量合理，得7.0分； 机具设备类型较全面、数量较合理，得6.0分； 机具设备类型基本满足、数量基本合理，得5.0分； 机具设备类型较差、数量较差，得3.0分； 机具设备类型不全、数量不足，得1.0分；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针对本项目突发事件的应急预案</w:t>
            </w:r>
          </w:p>
        </w:tc>
        <w:tc>
          <w:tcPr>
            <w:tcW w:type="dxa" w:w="2492"/>
          </w:tcPr>
          <w:p>
            <w:pPr>
              <w:pStyle w:val="null3"/>
            </w:pPr>
            <w:r>
              <w:rPr>
                <w:rFonts w:ascii="仿宋_GB2312" w:hAnsi="仿宋_GB2312" w:cs="仿宋_GB2312" w:eastAsia="仿宋_GB2312"/>
              </w:rPr>
              <w:t>突发事件应急预案考虑全面，切实可行，操作性强，得7.0分； 突发事件应急预案考虑较全面，操作性较强，得6.0分； 突发事件应急预案考虑一般，操作性一般，得5.0分； 突发事件应急预案考虑较差，操作性较差，得3.0分； 突发事件应急预案考虑不全，无操作性，得1.0分；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环境保护体系及保证措施</w:t>
            </w:r>
          </w:p>
        </w:tc>
        <w:tc>
          <w:tcPr>
            <w:tcW w:type="dxa" w:w="2492"/>
          </w:tcPr>
          <w:p>
            <w:pPr>
              <w:pStyle w:val="null3"/>
            </w:pPr>
            <w:r>
              <w:rPr>
                <w:rFonts w:ascii="仿宋_GB2312" w:hAnsi="仿宋_GB2312" w:cs="仿宋_GB2312" w:eastAsia="仿宋_GB2312"/>
              </w:rPr>
              <w:t>环境保护体系健全，保证措施全面，得7.0分； 环境保护体系较全面，保证措施较全面，得6.0分； 环境保护体系及保证措施一般，得5.0分； 环境保护体系及保证措施较差，得3.0分； 环境保护体系不全，保证措施不利，得1.0分； 未提供或内容与本条无关得0分。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2022年1月1日起至本项目响应文件递交截止时间止，每提供一份类似项目业绩得1分，最多得5分。以响应文件中所附合同或中标通知书扫描件为准；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近年完成类似项目情况表</w:t>
            </w:r>
          </w:p>
        </w:tc>
      </w:tr>
      <w:tr>
        <w:tc>
          <w:tcPr>
            <w:tcW w:type="dxa" w:w="831"/>
            <w:vMerge/>
          </w:tcPr>
          <w:p/>
        </w:tc>
        <w:tc>
          <w:tcPr>
            <w:tcW w:type="dxa" w:w="1661"/>
          </w:tcPr>
          <w:p>
            <w:pPr>
              <w:pStyle w:val="null3"/>
            </w:pPr>
            <w:r>
              <w:rPr>
                <w:rFonts w:ascii="仿宋_GB2312" w:hAnsi="仿宋_GB2312" w:cs="仿宋_GB2312" w:eastAsia="仿宋_GB2312"/>
              </w:rPr>
              <w:t>商务条款偏离</w:t>
            </w:r>
          </w:p>
        </w:tc>
        <w:tc>
          <w:tcPr>
            <w:tcW w:type="dxa" w:w="2492"/>
          </w:tcPr>
          <w:p>
            <w:pPr>
              <w:pStyle w:val="null3"/>
            </w:pPr>
            <w:r>
              <w:rPr>
                <w:rFonts w:ascii="仿宋_GB2312" w:hAnsi="仿宋_GB2312" w:cs="仿宋_GB2312" w:eastAsia="仿宋_GB2312"/>
              </w:rPr>
              <w:t>磋商小组根据供应商提供的《商务条款偏离表》对商务响应情况进行评审，完全满足（等于或者优于）磋商文件要求得9分，每出现一项负偏离（低于磋商文件要求）扣1分，扣完为止。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1.经资格审查及符合性审查合格的供应商，其磋商总报价为有效报价，以二次（最终）报价为最终评审价格； 2.有效最低报价为磋商基准价得30分； 3.其他供应商的价格分统一按照下列公式计算：磋商报价得分=（磋商基准价/最后磋商报价）×价格分值。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详见附件：资格证明材料</w:t>
      </w:r>
    </w:p>
    <w:p>
      <w:pPr>
        <w:pStyle w:val="null3"/>
        <w:ind w:firstLine="960"/>
      </w:pPr>
      <w:r>
        <w:rPr>
          <w:rFonts w:ascii="仿宋_GB2312" w:hAnsi="仿宋_GB2312" w:cs="仿宋_GB2312" w:eastAsia="仿宋_GB2312"/>
        </w:rPr>
        <w:t>详见附件：施工方案</w:t>
      </w:r>
    </w:p>
    <w:p>
      <w:pPr>
        <w:pStyle w:val="null3"/>
        <w:ind w:firstLine="960"/>
      </w:pPr>
      <w:r>
        <w:rPr>
          <w:rFonts w:ascii="仿宋_GB2312" w:hAnsi="仿宋_GB2312" w:cs="仿宋_GB2312" w:eastAsia="仿宋_GB2312"/>
        </w:rPr>
        <w:t>详见附件：近年完成类似项目情况表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