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版本号：DHJC2025-ZC-TP00520251104001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周至县2025年粮油绿色高效提单产（吨粮镇）建设项目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DHJC2025-ZC-TP005</w:t>
      </w:r>
      <w:r>
        <w:br/>
      </w:r>
      <w:r>
        <w:br/>
      </w:r>
      <w:r>
        <w:br/>
      </w:r>
    </w:p>
    <w:p>
      <w:pPr>
        <w:pStyle w:val="null3"/>
        <w:jc w:val="center"/>
        <w:outlineLvl w:val="2"/>
      </w:pPr>
      <w:r>
        <w:rPr>
          <w:rFonts w:ascii="仿宋_GB2312" w:hAnsi="仿宋_GB2312" w:cs="仿宋_GB2312" w:eastAsia="仿宋_GB2312"/>
          <w:sz w:val="28"/>
          <w:b/>
        </w:rPr>
        <w:t>西安市周至县种子技术推广服务站</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西安市周至县种子技术推广服务站</w:t>
      </w:r>
      <w:r>
        <w:rPr>
          <w:rFonts w:ascii="仿宋_GB2312" w:hAnsi="仿宋_GB2312" w:cs="仿宋_GB2312" w:eastAsia="仿宋_GB2312"/>
        </w:rPr>
        <w:t>委托，拟对</w:t>
      </w:r>
      <w:r>
        <w:rPr>
          <w:rFonts w:ascii="仿宋_GB2312" w:hAnsi="仿宋_GB2312" w:cs="仿宋_GB2312" w:eastAsia="仿宋_GB2312"/>
        </w:rPr>
        <w:t>周至县2025年粮油绿色高效提单产（吨粮镇）建设项目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DHJC2025-ZC-TP005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周至县2025年粮油绿色高效提单产（吨粮镇）建设项目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采购玉米种子、小麦种子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采购包1（玉米种子、小麦种子）：属于专门面向中小企业采购。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谈判的，须出具法定代表人身份证明；法定代表人委托代理人参加谈判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供应商不得为“信用中国”网站（www.creditchina.gov.cn）（中国执行信息公开网）中被列入失信被执行人、重大税收违法失信主体、和中国政府采购网（www.ccgp.gov.cn）政府采购严重违法失信行为记录名单的单位（谈判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3、企业资质：供应商应具备《农作物种子生产经营许可证》或者受具有种子生产经营许可证的种子生产经营者以书面委托生产、代销其种子的，应提供当地《农作物种子生产经营备案表》。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西安市周至县种子技术推广服务站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周至县农商西街东10号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18392038302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采购包1：471,045.00元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1%计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西安市周至县种子技术推广服务站</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西安市周至县种子技术推广服务站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西安市周至县种子技术推广服务站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陕西鼎汇嘉诚项目管理有限公司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采购玉米种子、小麦种子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471,045.00</w:t>
      </w:r>
    </w:p>
    <w:p>
      <w:pPr>
        <w:pStyle w:val="null3"/>
      </w:pPr>
      <w:r>
        <w:rPr>
          <w:rFonts w:ascii="仿宋_GB2312" w:hAnsi="仿宋_GB2312" w:cs="仿宋_GB2312" w:eastAsia="仿宋_GB2312"/>
        </w:rPr>
        <w:t>采购包最高限价（元）: 471,045.00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玉米种子、小麦种子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471,045.00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标的名称：玉米种子、小麦种子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29"/>
              <w:gridCol w:w="319"/>
              <w:gridCol w:w="1006"/>
              <w:gridCol w:w="302"/>
              <w:gridCol w:w="339"/>
              <w:gridCol w:w="347"/>
            </w:tblGrid>
            <w:tr>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24"/>
                    </w:rPr>
                    <w:t>序号</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24"/>
                    </w:rPr>
                    <w:t>名称</w:t>
                  </w:r>
                </w:p>
              </w:tc>
              <w:tc>
                <w:tcPr>
                  <w:tcW w:type="dxa" w:w="10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140"/>
                  </w:pPr>
                  <w:r>
                    <w:rPr>
                      <w:rFonts w:ascii="仿宋_GB2312" w:hAnsi="仿宋_GB2312" w:cs="仿宋_GB2312" w:eastAsia="仿宋_GB2312"/>
                      <w:sz w:val="24"/>
                    </w:rPr>
                    <w:t>技术参数要求</w:t>
                  </w:r>
                </w:p>
              </w:tc>
              <w:tc>
                <w:tcPr>
                  <w:tcW w:type="dxa" w:w="3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数量</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单价限价</w:t>
                  </w:r>
                  <w:r>
                    <w:rPr>
                      <w:rFonts w:ascii="仿宋_GB2312" w:hAnsi="仿宋_GB2312" w:cs="仿宋_GB2312" w:eastAsia="仿宋_GB2312"/>
                      <w:sz w:val="24"/>
                    </w:rPr>
                    <w:t>（</w:t>
                  </w:r>
                  <w:r>
                    <w:rPr>
                      <w:rFonts w:ascii="仿宋_GB2312" w:hAnsi="仿宋_GB2312" w:cs="仿宋_GB2312" w:eastAsia="仿宋_GB2312"/>
                      <w:sz w:val="24"/>
                    </w:rPr>
                    <w:t>元</w:t>
                  </w:r>
                  <w:r>
                    <w:rPr>
                      <w:rFonts w:ascii="仿宋_GB2312" w:hAnsi="仿宋_GB2312" w:cs="仿宋_GB2312" w:eastAsia="仿宋_GB2312"/>
                      <w:sz w:val="24"/>
                    </w:rPr>
                    <w:t>）</w:t>
                  </w:r>
                </w:p>
              </w:tc>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总价限价</w:t>
                  </w:r>
                  <w:r>
                    <w:rPr>
                      <w:rFonts w:ascii="仿宋_GB2312" w:hAnsi="仿宋_GB2312" w:cs="仿宋_GB2312" w:eastAsia="仿宋_GB2312"/>
                      <w:sz w:val="24"/>
                    </w:rPr>
                    <w:t>（</w:t>
                  </w:r>
                  <w:r>
                    <w:rPr>
                      <w:rFonts w:ascii="仿宋_GB2312" w:hAnsi="仿宋_GB2312" w:cs="仿宋_GB2312" w:eastAsia="仿宋_GB2312"/>
                      <w:sz w:val="24"/>
                    </w:rPr>
                    <w:t>元</w:t>
                  </w:r>
                  <w:r>
                    <w:rPr>
                      <w:rFonts w:ascii="仿宋_GB2312" w:hAnsi="仿宋_GB2312" w:cs="仿宋_GB2312" w:eastAsia="仿宋_GB2312"/>
                      <w:sz w:val="24"/>
                    </w:rPr>
                    <w:t>）</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玉米种子</w:t>
                  </w:r>
                </w:p>
              </w:tc>
              <w:tc>
                <w:tcPr>
                  <w:tcW w:type="dxa" w:w="10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180"/>
                    <w:ind w:right="30"/>
                    <w:jc w:val="both"/>
                  </w:pPr>
                  <w:r>
                    <w:rPr>
                      <w:rFonts w:ascii="仿宋_GB2312" w:hAnsi="仿宋_GB2312" w:cs="仿宋_GB2312" w:eastAsia="仿宋_GB2312"/>
                      <w:sz w:val="24"/>
                    </w:rPr>
                    <w:t>金科玉</w:t>
                  </w:r>
                  <w:r>
                    <w:rPr>
                      <w:rFonts w:ascii="仿宋_GB2312" w:hAnsi="仿宋_GB2312" w:cs="仿宋_GB2312" w:eastAsia="仿宋_GB2312"/>
                      <w:sz w:val="24"/>
                    </w:rPr>
                    <w:t>3306</w:t>
                  </w:r>
                  <w:r>
                    <w:rPr>
                      <w:rFonts w:ascii="仿宋_GB2312" w:hAnsi="仿宋_GB2312" w:cs="仿宋_GB2312" w:eastAsia="仿宋_GB2312"/>
                      <w:sz w:val="24"/>
                    </w:rPr>
                    <w:t>（</w:t>
                  </w:r>
                  <w:r>
                    <w:rPr>
                      <w:rFonts w:ascii="仿宋_GB2312" w:hAnsi="仿宋_GB2312" w:cs="仿宋_GB2312" w:eastAsia="仿宋_GB2312"/>
                      <w:sz w:val="24"/>
                    </w:rPr>
                    <w:t>玉米种子纯度</w:t>
                  </w:r>
                  <w:r>
                    <w:rPr>
                      <w:rFonts w:ascii="仿宋_GB2312" w:hAnsi="仿宋_GB2312" w:cs="仿宋_GB2312" w:eastAsia="仿宋_GB2312"/>
                      <w:sz w:val="24"/>
                    </w:rPr>
                    <w:t>≥96%</w:t>
                  </w:r>
                  <w:r>
                    <w:rPr>
                      <w:rFonts w:ascii="仿宋_GB2312" w:hAnsi="仿宋_GB2312" w:cs="仿宋_GB2312" w:eastAsia="仿宋_GB2312"/>
                      <w:sz w:val="24"/>
                    </w:rPr>
                    <w:t>、净度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%、发芽率≥85%、水分≤13%</w:t>
                  </w:r>
                  <w:r>
                    <w:rPr>
                      <w:rFonts w:ascii="仿宋_GB2312" w:hAnsi="仿宋_GB2312" w:cs="仿宋_GB2312" w:eastAsia="仿宋_GB2312"/>
                      <w:sz w:val="24"/>
                    </w:rPr>
                    <w:t>。</w:t>
                  </w:r>
                  <w:r>
                    <w:rPr>
                      <w:rFonts w:ascii="仿宋_GB2312" w:hAnsi="仿宋_GB2312" w:cs="仿宋_GB2312" w:eastAsia="仿宋_GB2312"/>
                      <w:sz w:val="24"/>
                    </w:rPr>
                    <w:t>袋装，</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00</w:t>
                  </w:r>
                  <w:r>
                    <w:rPr>
                      <w:rFonts w:ascii="仿宋_GB2312" w:hAnsi="仿宋_GB2312" w:cs="仿宋_GB2312" w:eastAsia="仿宋_GB2312"/>
                    </w:rPr>
                    <w:t xml:space="preserve"> </w:t>
                  </w:r>
                  <w:r>
                    <w:rPr>
                      <w:rFonts w:ascii="仿宋_GB2312" w:hAnsi="仿宋_GB2312" w:cs="仿宋_GB2312" w:eastAsia="仿宋_GB2312"/>
                      <w:sz w:val="24"/>
                    </w:rPr>
                    <w:t>粒</w:t>
                  </w:r>
                  <w:r>
                    <w:rPr>
                      <w:rFonts w:ascii="仿宋_GB2312" w:hAnsi="仿宋_GB2312" w:cs="仿宋_GB2312" w:eastAsia="仿宋_GB2312"/>
                      <w:sz w:val="24"/>
                    </w:rPr>
                    <w:t>/袋。</w:t>
                  </w:r>
                  <w:r>
                    <w:rPr>
                      <w:rFonts w:ascii="仿宋_GB2312" w:hAnsi="仿宋_GB2312" w:cs="仿宋_GB2312" w:eastAsia="仿宋_GB2312"/>
                      <w:sz w:val="24"/>
                    </w:rPr>
                    <w:t>）</w:t>
                  </w:r>
                </w:p>
                <w:p>
                  <w:pPr>
                    <w:pStyle w:val="null3"/>
                    <w:numPr>
                      <w:ilvl w:val="0"/>
                      <w:numId w:val="1"/>
                    </w:numPr>
                    <w:spacing w:before="180"/>
                    <w:ind w:right="30"/>
                    <w:jc w:val="both"/>
                  </w:pPr>
                  <w:r>
                    <w:rPr>
                      <w:rFonts w:ascii="仿宋_GB2312" w:hAnsi="仿宋_GB2312" w:cs="仿宋_GB2312" w:eastAsia="仿宋_GB2312"/>
                      <w:sz w:val="24"/>
                    </w:rPr>
                    <w:t>良玉</w:t>
                  </w:r>
                  <w:r>
                    <w:rPr>
                      <w:rFonts w:ascii="仿宋_GB2312" w:hAnsi="仿宋_GB2312" w:cs="仿宋_GB2312" w:eastAsia="仿宋_GB2312"/>
                      <w:sz w:val="24"/>
                    </w:rPr>
                    <w:t>99</w:t>
                  </w:r>
                  <w:r>
                    <w:rPr>
                      <w:rFonts w:ascii="仿宋_GB2312" w:hAnsi="仿宋_GB2312" w:cs="仿宋_GB2312" w:eastAsia="仿宋_GB2312"/>
                      <w:sz w:val="24"/>
                    </w:rPr>
                    <w:t>（</w:t>
                  </w:r>
                  <w:r>
                    <w:rPr>
                      <w:rFonts w:ascii="仿宋_GB2312" w:hAnsi="仿宋_GB2312" w:cs="仿宋_GB2312" w:eastAsia="仿宋_GB2312"/>
                      <w:sz w:val="24"/>
                    </w:rPr>
                    <w:t>玉米种子纯度</w:t>
                  </w:r>
                  <w:r>
                    <w:rPr>
                      <w:rFonts w:ascii="仿宋_GB2312" w:hAnsi="仿宋_GB2312" w:cs="仿宋_GB2312" w:eastAsia="仿宋_GB2312"/>
                      <w:sz w:val="24"/>
                    </w:rPr>
                    <w:t>≥96%</w:t>
                  </w:r>
                  <w:r>
                    <w:rPr>
                      <w:rFonts w:ascii="仿宋_GB2312" w:hAnsi="仿宋_GB2312" w:cs="仿宋_GB2312" w:eastAsia="仿宋_GB2312"/>
                      <w:sz w:val="24"/>
                    </w:rPr>
                    <w:t>、净度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%、发芽率≥85%、水分≤13%</w:t>
                  </w:r>
                  <w:r>
                    <w:rPr>
                      <w:rFonts w:ascii="仿宋_GB2312" w:hAnsi="仿宋_GB2312" w:cs="仿宋_GB2312" w:eastAsia="仿宋_GB2312"/>
                      <w:sz w:val="24"/>
                    </w:rPr>
                    <w:t>。</w:t>
                  </w:r>
                  <w:r>
                    <w:rPr>
                      <w:rFonts w:ascii="仿宋_GB2312" w:hAnsi="仿宋_GB2312" w:cs="仿宋_GB2312" w:eastAsia="仿宋_GB2312"/>
                      <w:sz w:val="24"/>
                    </w:rPr>
                    <w:t>袋装，</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00</w:t>
                  </w:r>
                  <w:r>
                    <w:rPr>
                      <w:rFonts w:ascii="仿宋_GB2312" w:hAnsi="仿宋_GB2312" w:cs="仿宋_GB2312" w:eastAsia="仿宋_GB2312"/>
                    </w:rPr>
                    <w:t xml:space="preserve"> </w:t>
                  </w:r>
                  <w:r>
                    <w:rPr>
                      <w:rFonts w:ascii="仿宋_GB2312" w:hAnsi="仿宋_GB2312" w:cs="仿宋_GB2312" w:eastAsia="仿宋_GB2312"/>
                      <w:sz w:val="24"/>
                    </w:rPr>
                    <w:t>粒</w:t>
                  </w:r>
                  <w:r>
                    <w:rPr>
                      <w:rFonts w:ascii="仿宋_GB2312" w:hAnsi="仿宋_GB2312" w:cs="仿宋_GB2312" w:eastAsia="仿宋_GB2312"/>
                      <w:sz w:val="24"/>
                    </w:rPr>
                    <w:t>/袋。</w:t>
                  </w:r>
                  <w:r>
                    <w:rPr>
                      <w:rFonts w:ascii="仿宋_GB2312" w:hAnsi="仿宋_GB2312" w:cs="仿宋_GB2312" w:eastAsia="仿宋_GB2312"/>
                      <w:sz w:val="24"/>
                    </w:rPr>
                    <w:t>）</w:t>
                  </w:r>
                </w:p>
                <w:p>
                  <w:pPr>
                    <w:pStyle w:val="null3"/>
                    <w:numPr>
                      <w:ilvl w:val="0"/>
                      <w:numId w:val="1"/>
                    </w:numPr>
                    <w:spacing w:before="180"/>
                    <w:ind w:right="30"/>
                    <w:jc w:val="both"/>
                  </w:pPr>
                  <w:r>
                    <w:rPr>
                      <w:rFonts w:ascii="仿宋_GB2312" w:hAnsi="仿宋_GB2312" w:cs="仿宋_GB2312" w:eastAsia="仿宋_GB2312"/>
                      <w:sz w:val="24"/>
                    </w:rPr>
                    <w:t>联创</w:t>
                  </w:r>
                  <w:r>
                    <w:rPr>
                      <w:rFonts w:ascii="仿宋_GB2312" w:hAnsi="仿宋_GB2312" w:cs="仿宋_GB2312" w:eastAsia="仿宋_GB2312"/>
                      <w:sz w:val="24"/>
                    </w:rPr>
                    <w:t>839</w:t>
                  </w:r>
                  <w:r>
                    <w:rPr>
                      <w:rFonts w:ascii="仿宋_GB2312" w:hAnsi="仿宋_GB2312" w:cs="仿宋_GB2312" w:eastAsia="仿宋_GB2312"/>
                      <w:sz w:val="24"/>
                    </w:rPr>
                    <w:t>（</w:t>
                  </w:r>
                  <w:r>
                    <w:rPr>
                      <w:rFonts w:ascii="仿宋_GB2312" w:hAnsi="仿宋_GB2312" w:cs="仿宋_GB2312" w:eastAsia="仿宋_GB2312"/>
                      <w:sz w:val="24"/>
                    </w:rPr>
                    <w:t>玉米种子纯度</w:t>
                  </w:r>
                  <w:r>
                    <w:rPr>
                      <w:rFonts w:ascii="仿宋_GB2312" w:hAnsi="仿宋_GB2312" w:cs="仿宋_GB2312" w:eastAsia="仿宋_GB2312"/>
                      <w:sz w:val="24"/>
                    </w:rPr>
                    <w:t>≥96%</w:t>
                  </w:r>
                  <w:r>
                    <w:rPr>
                      <w:rFonts w:ascii="仿宋_GB2312" w:hAnsi="仿宋_GB2312" w:cs="仿宋_GB2312" w:eastAsia="仿宋_GB2312"/>
                      <w:sz w:val="24"/>
                    </w:rPr>
                    <w:t>、净度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%、发芽率≥85%、水分≤13%</w:t>
                  </w:r>
                  <w:r>
                    <w:rPr>
                      <w:rFonts w:ascii="仿宋_GB2312" w:hAnsi="仿宋_GB2312" w:cs="仿宋_GB2312" w:eastAsia="仿宋_GB2312"/>
                      <w:sz w:val="24"/>
                    </w:rPr>
                    <w:t>。</w:t>
                  </w:r>
                  <w:r>
                    <w:rPr>
                      <w:rFonts w:ascii="仿宋_GB2312" w:hAnsi="仿宋_GB2312" w:cs="仿宋_GB2312" w:eastAsia="仿宋_GB2312"/>
                      <w:sz w:val="24"/>
                    </w:rPr>
                    <w:t>袋装，</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00</w:t>
                  </w:r>
                  <w:r>
                    <w:rPr>
                      <w:rFonts w:ascii="仿宋_GB2312" w:hAnsi="仿宋_GB2312" w:cs="仿宋_GB2312" w:eastAsia="仿宋_GB2312"/>
                    </w:rPr>
                    <w:t xml:space="preserve"> </w:t>
                  </w:r>
                  <w:r>
                    <w:rPr>
                      <w:rFonts w:ascii="仿宋_GB2312" w:hAnsi="仿宋_GB2312" w:cs="仿宋_GB2312" w:eastAsia="仿宋_GB2312"/>
                      <w:sz w:val="24"/>
                    </w:rPr>
                    <w:t>粒</w:t>
                  </w:r>
                  <w:r>
                    <w:rPr>
                      <w:rFonts w:ascii="仿宋_GB2312" w:hAnsi="仿宋_GB2312" w:cs="仿宋_GB2312" w:eastAsia="仿宋_GB2312"/>
                      <w:sz w:val="24"/>
                    </w:rPr>
                    <w:t>/袋。</w:t>
                  </w:r>
                  <w:r>
                    <w:rPr>
                      <w:rFonts w:ascii="仿宋_GB2312" w:hAnsi="仿宋_GB2312" w:cs="仿宋_GB2312" w:eastAsia="仿宋_GB2312"/>
                      <w:sz w:val="24"/>
                    </w:rPr>
                    <w:t>）</w:t>
                  </w:r>
                </w:p>
              </w:tc>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3039</w:t>
                  </w:r>
                  <w:r>
                    <w:rPr>
                      <w:rFonts w:ascii="仿宋_GB2312" w:hAnsi="仿宋_GB2312" w:cs="仿宋_GB2312" w:eastAsia="仿宋_GB2312"/>
                    </w:rPr>
                    <w:t xml:space="preserve"> </w:t>
                  </w:r>
                  <w:r>
                    <w:rPr>
                      <w:rFonts w:ascii="仿宋_GB2312" w:hAnsi="仿宋_GB2312" w:cs="仿宋_GB2312" w:eastAsia="仿宋_GB2312"/>
                      <w:sz w:val="24"/>
                    </w:rPr>
                    <w:t>袋</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65</w:t>
                  </w:r>
                  <w:r>
                    <w:rPr>
                      <w:rFonts w:ascii="仿宋_GB2312" w:hAnsi="仿宋_GB2312" w:cs="仿宋_GB2312" w:eastAsia="仿宋_GB2312"/>
                    </w:rPr>
                    <w:t xml:space="preserve"> </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袋</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197535.00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小麦种子</w:t>
                  </w:r>
                </w:p>
              </w:tc>
              <w:tc>
                <w:tcPr>
                  <w:tcW w:type="dxa" w:w="10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195"/>
                    <w:ind w:right="15"/>
                    <w:jc w:val="both"/>
                  </w:pPr>
                  <w:r>
                    <w:rPr>
                      <w:rFonts w:ascii="仿宋_GB2312" w:hAnsi="仿宋_GB2312" w:cs="仿宋_GB2312" w:eastAsia="仿宋_GB2312"/>
                      <w:sz w:val="24"/>
                    </w:rPr>
                    <w:t>伟隆</w:t>
                  </w:r>
                  <w:r>
                    <w:rPr>
                      <w:rFonts w:ascii="仿宋_GB2312" w:hAnsi="仿宋_GB2312" w:cs="仿宋_GB2312" w:eastAsia="仿宋_GB2312"/>
                      <w:sz w:val="24"/>
                    </w:rPr>
                    <w:t>169</w:t>
                  </w:r>
                  <w:r>
                    <w:rPr>
                      <w:rFonts w:ascii="仿宋_GB2312" w:hAnsi="仿宋_GB2312" w:cs="仿宋_GB2312" w:eastAsia="仿宋_GB2312"/>
                      <w:sz w:val="24"/>
                    </w:rPr>
                    <w:t>（</w:t>
                  </w:r>
                  <w:r>
                    <w:rPr>
                      <w:rFonts w:ascii="仿宋_GB2312" w:hAnsi="仿宋_GB2312" w:cs="仿宋_GB2312" w:eastAsia="仿宋_GB2312"/>
                      <w:sz w:val="24"/>
                    </w:rPr>
                    <w:t>小麦种子纯度</w:t>
                  </w:r>
                  <w:r>
                    <w:rPr>
                      <w:rFonts w:ascii="仿宋_GB2312" w:hAnsi="仿宋_GB2312" w:cs="仿宋_GB2312" w:eastAsia="仿宋_GB2312"/>
                      <w:sz w:val="24"/>
                    </w:rPr>
                    <w:t>≥99%、净度≥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w:t>
                  </w:r>
                  <w:r>
                    <w:rPr>
                      <w:rFonts w:ascii="仿宋_GB2312" w:hAnsi="仿宋_GB2312" w:cs="仿宋_GB2312" w:eastAsia="仿宋_GB2312"/>
                      <w:sz w:val="24"/>
                    </w:rPr>
                    <w:t>水分</w:t>
                  </w:r>
                  <w:r>
                    <w:rPr>
                      <w:rFonts w:ascii="仿宋_GB2312" w:hAnsi="仿宋_GB2312" w:cs="仿宋_GB2312" w:eastAsia="仿宋_GB2312"/>
                      <w:sz w:val="24"/>
                    </w:rPr>
                    <w:t>≤13%。</w:t>
                  </w:r>
                  <w:r>
                    <w:rPr>
                      <w:rFonts w:ascii="仿宋_GB2312" w:hAnsi="仿宋_GB2312" w:cs="仿宋_GB2312" w:eastAsia="仿宋_GB2312"/>
                      <w:sz w:val="24"/>
                    </w:rPr>
                    <w:t>袋装，</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kg/袋</w:t>
                  </w:r>
                  <w:r>
                    <w:rPr>
                      <w:rFonts w:ascii="仿宋_GB2312" w:hAnsi="仿宋_GB2312" w:cs="仿宋_GB2312" w:eastAsia="仿宋_GB2312"/>
                      <w:sz w:val="24"/>
                    </w:rPr>
                    <w:t>（</w:t>
                  </w:r>
                  <w:r>
                    <w:rPr>
                      <w:rFonts w:ascii="仿宋_GB2312" w:hAnsi="仿宋_GB2312" w:cs="仿宋_GB2312" w:eastAsia="仿宋_GB2312"/>
                      <w:sz w:val="24"/>
                    </w:rPr>
                    <w:t>包衣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p>
                  <w:pPr>
                    <w:pStyle w:val="null3"/>
                    <w:numPr>
                      <w:ilvl w:val="0"/>
                      <w:numId w:val="1"/>
                    </w:numPr>
                    <w:spacing w:before="195"/>
                    <w:ind w:right="15"/>
                    <w:jc w:val="both"/>
                  </w:pPr>
                  <w:r>
                    <w:rPr>
                      <w:rFonts w:ascii="仿宋_GB2312" w:hAnsi="仿宋_GB2312" w:cs="仿宋_GB2312" w:eastAsia="仿宋_GB2312"/>
                      <w:sz w:val="24"/>
                    </w:rPr>
                    <w:t>西农</w:t>
                  </w:r>
                  <w:r>
                    <w:rPr>
                      <w:rFonts w:ascii="仿宋_GB2312" w:hAnsi="仿宋_GB2312" w:cs="仿宋_GB2312" w:eastAsia="仿宋_GB2312"/>
                      <w:sz w:val="24"/>
                    </w:rPr>
                    <w:t>1018</w:t>
                  </w:r>
                  <w:r>
                    <w:rPr>
                      <w:rFonts w:ascii="仿宋_GB2312" w:hAnsi="仿宋_GB2312" w:cs="仿宋_GB2312" w:eastAsia="仿宋_GB2312"/>
                      <w:sz w:val="24"/>
                    </w:rPr>
                    <w:t>（</w:t>
                  </w:r>
                  <w:r>
                    <w:rPr>
                      <w:rFonts w:ascii="仿宋_GB2312" w:hAnsi="仿宋_GB2312" w:cs="仿宋_GB2312" w:eastAsia="仿宋_GB2312"/>
                      <w:sz w:val="24"/>
                    </w:rPr>
                    <w:t>小麦种子纯度</w:t>
                  </w:r>
                  <w:r>
                    <w:rPr>
                      <w:rFonts w:ascii="仿宋_GB2312" w:hAnsi="仿宋_GB2312" w:cs="仿宋_GB2312" w:eastAsia="仿宋_GB2312"/>
                      <w:sz w:val="24"/>
                    </w:rPr>
                    <w:t>≥99%、净度≥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w:t>
                  </w:r>
                  <w:r>
                    <w:rPr>
                      <w:rFonts w:ascii="仿宋_GB2312" w:hAnsi="仿宋_GB2312" w:cs="仿宋_GB2312" w:eastAsia="仿宋_GB2312"/>
                      <w:sz w:val="24"/>
                    </w:rPr>
                    <w:t>水分</w:t>
                  </w:r>
                  <w:r>
                    <w:rPr>
                      <w:rFonts w:ascii="仿宋_GB2312" w:hAnsi="仿宋_GB2312" w:cs="仿宋_GB2312" w:eastAsia="仿宋_GB2312"/>
                      <w:sz w:val="24"/>
                    </w:rPr>
                    <w:t>≤13%。</w:t>
                  </w:r>
                  <w:r>
                    <w:rPr>
                      <w:rFonts w:ascii="仿宋_GB2312" w:hAnsi="仿宋_GB2312" w:cs="仿宋_GB2312" w:eastAsia="仿宋_GB2312"/>
                      <w:sz w:val="24"/>
                    </w:rPr>
                    <w:t>袋装，</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kg/袋</w:t>
                  </w:r>
                  <w:r>
                    <w:rPr>
                      <w:rFonts w:ascii="仿宋_GB2312" w:hAnsi="仿宋_GB2312" w:cs="仿宋_GB2312" w:eastAsia="仿宋_GB2312"/>
                      <w:sz w:val="24"/>
                    </w:rPr>
                    <w:t>（</w:t>
                  </w:r>
                  <w:r>
                    <w:rPr>
                      <w:rFonts w:ascii="仿宋_GB2312" w:hAnsi="仿宋_GB2312" w:cs="仿宋_GB2312" w:eastAsia="仿宋_GB2312"/>
                      <w:sz w:val="24"/>
                    </w:rPr>
                    <w:t>包衣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p>
                  <w:pPr>
                    <w:pStyle w:val="null3"/>
                    <w:numPr>
                      <w:ilvl w:val="0"/>
                      <w:numId w:val="1"/>
                    </w:numPr>
                    <w:spacing w:before="195"/>
                    <w:ind w:right="15"/>
                    <w:jc w:val="both"/>
                  </w:pPr>
                  <w:r>
                    <w:rPr>
                      <w:rFonts w:ascii="仿宋_GB2312" w:hAnsi="仿宋_GB2312" w:cs="仿宋_GB2312" w:eastAsia="仿宋_GB2312"/>
                      <w:sz w:val="24"/>
                    </w:rPr>
                    <w:t>联邦</w:t>
                  </w:r>
                  <w:r>
                    <w:rPr>
                      <w:rFonts w:ascii="仿宋_GB2312" w:hAnsi="仿宋_GB2312" w:cs="仿宋_GB2312" w:eastAsia="仿宋_GB2312"/>
                      <w:sz w:val="24"/>
                    </w:rPr>
                    <w:t>2号</w:t>
                  </w:r>
                  <w:r>
                    <w:rPr>
                      <w:rFonts w:ascii="仿宋_GB2312" w:hAnsi="仿宋_GB2312" w:cs="仿宋_GB2312" w:eastAsia="仿宋_GB2312"/>
                      <w:sz w:val="24"/>
                    </w:rPr>
                    <w:t>（</w:t>
                  </w:r>
                  <w:r>
                    <w:rPr>
                      <w:rFonts w:ascii="仿宋_GB2312" w:hAnsi="仿宋_GB2312" w:cs="仿宋_GB2312" w:eastAsia="仿宋_GB2312"/>
                      <w:sz w:val="24"/>
                    </w:rPr>
                    <w:t>小麦种子纯度</w:t>
                  </w:r>
                  <w:r>
                    <w:rPr>
                      <w:rFonts w:ascii="仿宋_GB2312" w:hAnsi="仿宋_GB2312" w:cs="仿宋_GB2312" w:eastAsia="仿宋_GB2312"/>
                      <w:sz w:val="24"/>
                    </w:rPr>
                    <w:t>≥99%、净度≥</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%、发芽率≥85%、</w:t>
                  </w:r>
                  <w:r>
                    <w:rPr>
                      <w:rFonts w:ascii="仿宋_GB2312" w:hAnsi="仿宋_GB2312" w:cs="仿宋_GB2312" w:eastAsia="仿宋_GB2312"/>
                      <w:sz w:val="24"/>
                    </w:rPr>
                    <w:t>水分</w:t>
                  </w:r>
                  <w:r>
                    <w:rPr>
                      <w:rFonts w:ascii="仿宋_GB2312" w:hAnsi="仿宋_GB2312" w:cs="仿宋_GB2312" w:eastAsia="仿宋_GB2312"/>
                      <w:sz w:val="24"/>
                    </w:rPr>
                    <w:t>≤13%。</w:t>
                  </w:r>
                  <w:r>
                    <w:rPr>
                      <w:rFonts w:ascii="仿宋_GB2312" w:hAnsi="仿宋_GB2312" w:cs="仿宋_GB2312" w:eastAsia="仿宋_GB2312"/>
                      <w:sz w:val="24"/>
                    </w:rPr>
                    <w:t>袋装，</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kg/袋</w:t>
                  </w:r>
                  <w:r>
                    <w:rPr>
                      <w:rFonts w:ascii="仿宋_GB2312" w:hAnsi="仿宋_GB2312" w:cs="仿宋_GB2312" w:eastAsia="仿宋_GB2312"/>
                      <w:sz w:val="24"/>
                    </w:rPr>
                    <w:t>（</w:t>
                  </w:r>
                  <w:r>
                    <w:rPr>
                      <w:rFonts w:ascii="仿宋_GB2312" w:hAnsi="仿宋_GB2312" w:cs="仿宋_GB2312" w:eastAsia="仿宋_GB2312"/>
                      <w:sz w:val="24"/>
                    </w:rPr>
                    <w:t>包衣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tc>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3039</w:t>
                  </w:r>
                  <w:r>
                    <w:rPr>
                      <w:rFonts w:ascii="仿宋_GB2312" w:hAnsi="仿宋_GB2312" w:cs="仿宋_GB2312" w:eastAsia="仿宋_GB2312"/>
                    </w:rPr>
                    <w:t xml:space="preserve"> </w:t>
                  </w:r>
                  <w:r>
                    <w:rPr>
                      <w:rFonts w:ascii="仿宋_GB2312" w:hAnsi="仿宋_GB2312" w:cs="仿宋_GB2312" w:eastAsia="仿宋_GB2312"/>
                      <w:sz w:val="24"/>
                    </w:rPr>
                    <w:t>袋</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90</w:t>
                  </w:r>
                  <w:r>
                    <w:rPr>
                      <w:rFonts w:ascii="仿宋_GB2312" w:hAnsi="仿宋_GB2312" w:cs="仿宋_GB2312" w:eastAsia="仿宋_GB2312"/>
                      <w:sz w:val="24"/>
                    </w:rPr>
                    <w:t>元</w:t>
                  </w:r>
                  <w:r>
                    <w:rPr>
                      <w:rFonts w:ascii="仿宋_GB2312" w:hAnsi="仿宋_GB2312" w:cs="仿宋_GB2312" w:eastAsia="仿宋_GB2312"/>
                      <w:sz w:val="24"/>
                    </w:rPr>
                    <w:t>/袋</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273510.00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合同签订后按农时需要提前15天内完成供货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供货完成，项目验收合格后，按财政资金拨付进度进行支付。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产品验收合格后一年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 ）。否则，采购代理机构可以向财政部门反映情况并提供相应的佐证。供应商一年内累计出现三次该情形，将被监管部门记录为失信行为。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谈判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谈判响应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5、提供谈判响应文件递交截止时间前一年内已缴存的至少一个月的社会保障资金缴存单据或社保机构开具的社会保险参保缴费情况证明，依法不需要缴纳社会保障资金的供应商应提供相应证明文件；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谈判文件截止时间不足一年的可提供成立后任意时段的资产负债表），或基本存款账户开户银行出具的资信证明及基本存款账户信息（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谈判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供应商应具备《农作物种子生产经营许可证》或者受具有种子生产经营许可证的种子生产经营者以书面委托生产、代销其种子的，应提供当地《农作物种子生产经营备案表》。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谈判响应文件有效期</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谈判响应文件供应商的签字、盖章</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中小企业声明函 商务应答表 报价表 响应文件封面 产品技术参数表 分项报价表.docx 残疾人福利性单位声明函 标的清单 供应商资格证明文件.docx 谈判方案.docx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谈判响应文件对谈判文件的响应，未附有采购人不能接受条件的，不存在重大偏离。</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产品技术参数表 分项报价表.docx 标的清单 报价表 供应商资格证明文件.docx 谈判方案.docx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