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版本号：HYGH2025-ZCCS-121720251218001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楼观镇就峪河周一段河堤水毁道路修复项目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HYGH2025-ZCCS-1217</w:t>
      </w:r>
      <w:r>
        <w:br/>
      </w:r>
      <w:r>
        <w:br/>
      </w:r>
      <w:r>
        <w:br/>
      </w:r>
    </w:p>
    <w:p>
      <w:pPr>
        <w:pStyle w:val="null3"/>
        <w:jc w:val="center"/>
        <w:outlineLvl w:val="2"/>
      </w:pPr>
      <w:r>
        <w:rPr>
          <w:rFonts w:ascii="仿宋_GB2312" w:hAnsi="仿宋_GB2312" w:cs="仿宋_GB2312" w:eastAsia="仿宋_GB2312"/>
          <w:sz w:val="28"/>
          <w:b/>
        </w:rPr>
        <w:t>周至县楼观镇人民政府</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周至县楼观镇人民政府</w:t>
      </w:r>
      <w:r>
        <w:rPr>
          <w:rFonts w:ascii="仿宋_GB2312" w:hAnsi="仿宋_GB2312" w:cs="仿宋_GB2312" w:eastAsia="仿宋_GB2312"/>
        </w:rPr>
        <w:t>委托，拟对</w:t>
      </w:r>
      <w:r>
        <w:rPr>
          <w:rFonts w:ascii="仿宋_GB2312" w:hAnsi="仿宋_GB2312" w:cs="仿宋_GB2312" w:eastAsia="仿宋_GB2312"/>
        </w:rPr>
        <w:t>楼观镇就峪河周一段河堤水毁道路修复项目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HYGH2025-ZCCS-1217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楼观镇就峪河周一段河堤水毁道路修复项目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楼观镇就峪河周一段河堤水毁道路修复项目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采购包1（楼观镇就峪河周一段河堤水毁道路修复项目）：属于专门面向中小企业采购。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5、社会保障资金缴纳证明：提供磋商截止日前近一年内任意一个月的社会保障资金缴存单据或社保机构开具的社会保险参保缴费情况证明，依法不需要缴纳社会保障资金的单位应提供相关证明材料；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6、企业资质：具备建设行政部门颁发的市政公用工程施工总承包三级及以上资质，且具有有效的安全生产许可证；</w:t>
      </w:r>
    </w:p>
    <w:p>
      <w:pPr>
        <w:pStyle w:val="null3"/>
      </w:pPr>
      <w:r>
        <w:rPr>
          <w:rFonts w:ascii="仿宋_GB2312" w:hAnsi="仿宋_GB2312" w:cs="仿宋_GB2312" w:eastAsia="仿宋_GB2312"/>
        </w:rPr>
        <w:t>7、项目经理资质：拟派项目经理须具有市政公用工程专业二级及以上注册建造师资质并具有安全生产考核合格证，在本单位注册且无在建工程（提供无在建承诺书）；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8、说明及承诺书：提供具有履行本合同所必需的设备和专业技术能力的说明及承诺书；</w:t>
      </w:r>
    </w:p>
    <w:p>
      <w:pPr>
        <w:pStyle w:val="null3"/>
      </w:pPr>
      <w:r>
        <w:rPr>
          <w:rFonts w:ascii="仿宋_GB2312" w:hAnsi="仿宋_GB2312" w:cs="仿宋_GB2312" w:eastAsia="仿宋_GB2312"/>
        </w:rPr>
        <w:t>9、查询相关主体信用记录：供应商通过“信用中国”网站(www.creditchina.gov.cn)、中国政府采购网(www.ccgp.gov.cn)等查询相关主体信用记录；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周至县楼观镇人民政府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周至县楼观镇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周至县楼观镇人民政府经办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15029206916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采购包1：1,589,816.14元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周至县楼观镇人民政府</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周至县楼观镇人民政府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周至县楼观镇人民政府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1,589,816.14</w:t>
      </w:r>
    </w:p>
    <w:p>
      <w:pPr>
        <w:pStyle w:val="null3"/>
      </w:pPr>
      <w:r>
        <w:rPr>
          <w:rFonts w:ascii="仿宋_GB2312" w:hAnsi="仿宋_GB2312" w:cs="仿宋_GB2312" w:eastAsia="仿宋_GB2312"/>
        </w:rPr>
        <w:t>采购包最高限价（元）: 1,589,816.14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楼观镇就峪河周一段河堤水毁道路修复项目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1,589,816.14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标的名称：楼观镇就峪河周一段河堤水毁道路修复项目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1、工期：自合同签订之日起120日历天。</w:t>
            </w:r>
            <w:r>
              <w:br/>
            </w:r>
            <w:r>
              <w:rPr>
                <w:rFonts w:ascii="仿宋_GB2312" w:hAnsi="仿宋_GB2312" w:cs="仿宋_GB2312" w:eastAsia="仿宋_GB2312"/>
              </w:rPr>
              <w:t xml:space="preserve"> 2、具体内容详见电子招标书及工程量清单。</w:t>
            </w:r>
            <w:r>
              <w:br/>
            </w:r>
            <w:r>
              <w:rPr>
                <w:rFonts w:ascii="仿宋_GB2312" w:hAnsi="仿宋_GB2312" w:cs="仿宋_GB2312" w:eastAsia="仿宋_GB2312"/>
              </w:rPr>
              <w:t xml:space="preserve"> 3、广联达版本号：7.5000.23.2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具备建设行政部门颁发的市政公用工程施工总承包三级及以上资质，且具有有效的安全生产许可证；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查询相关主体信用记录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入口管理、交通组织安排、消防及道路安排。 二、评审标准1、完整性：方案必须全面，对评审内容中的各项要求有详细描述；2、可实施性：切合本项目实际情况，提出步骤清晰、合理的方案；3、针对性：方案能够紧扣项目实际情况，内容科学合理。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1、完整性：方案必须全面，对评审内容中的各项要求有详细描述；2、可实施性：切合本项目实际情况，提出步骤清晰 、合理的方案； 3、针对性：方案能够紧扣项目实际情况，内容科学合理。三、赋分标准 （满分9分）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 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，内容科学合理。三、赋分标准（满分6分） ①质量目标管理体系：每完全满足一个评审标准得0.5分，满分1.5分； ②施工质量检验制度：每完全满足一个评审标准得0.5分，满 分1.5分；③确保质量的技术组织措施：每完全满足一个评审标准得0.5分，满分1.5分；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1、完整性：方案必须全面，对评审内容中的各项要求有详细描述； 2、可实施性：切合本项目实际情况， 提出步骤清晰、合理的方案； 3、针对性：案能够紧扣项目实际情况，内容科学合理。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 对评审内容中的各项要求有详细述； 2、可实施性：切合本项目实际情况，提出步骤清晰、合理的方案； 3、针对性：方案能够紧扣项目实际情况，内容科学合理。 三、赋分标 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