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FE5D1">
      <w:pPr>
        <w:jc w:val="center"/>
        <w:outlineLvl w:val="0"/>
        <w:rPr>
          <w:rFonts w:hint="eastAsia" w:ascii="宋体" w:hAnsi="宋体" w:eastAsia="宋体" w:cs="宋体"/>
          <w:b/>
          <w:color w:val="auto"/>
          <w:kern w:val="44"/>
          <w:sz w:val="44"/>
          <w:szCs w:val="44"/>
          <w:highlight w:val="none"/>
          <w:lang w:eastAsia="zh-CN"/>
        </w:rPr>
      </w:pPr>
      <w:r>
        <w:rPr>
          <w:rFonts w:hint="eastAsia" w:ascii="宋体" w:hAnsi="宋体" w:cs="宋体"/>
          <w:b/>
          <w:color w:val="auto"/>
          <w:kern w:val="44"/>
          <w:sz w:val="44"/>
          <w:szCs w:val="44"/>
          <w:highlight w:val="none"/>
          <w:lang w:eastAsia="zh-CN"/>
        </w:rPr>
        <w:t>合同草案条款</w:t>
      </w:r>
    </w:p>
    <w:p w14:paraId="2E4772C6">
      <w:pPr>
        <w:numPr>
          <w:ilvl w:val="0"/>
          <w:numId w:val="0"/>
        </w:numPr>
        <w:ind w:firstLine="723" w:firstLineChars="300"/>
        <w:jc w:val="center"/>
        <w:rPr>
          <w:rFonts w:hint="eastAsia"/>
          <w:b/>
          <w:bCs/>
          <w:sz w:val="24"/>
          <w:szCs w:val="32"/>
          <w:highlight w:val="none"/>
          <w:lang w:eastAsia="zh-CN"/>
        </w:rPr>
      </w:pPr>
      <w:r>
        <w:rPr>
          <w:rFonts w:hint="eastAsia"/>
          <w:b/>
          <w:bCs/>
          <w:sz w:val="24"/>
          <w:szCs w:val="32"/>
          <w:highlight w:val="none"/>
          <w:lang w:eastAsia="zh-CN"/>
        </w:rPr>
        <w:t>合同模板，仅供参考。</w:t>
      </w:r>
    </w:p>
    <w:p w14:paraId="57F556AE">
      <w:pPr>
        <w:pStyle w:val="9"/>
        <w:pageBreakBefore w:val="0"/>
        <w:kinsoku/>
        <w:wordWrap/>
        <w:overflowPunct/>
        <w:topLinePunct w:val="0"/>
        <w:bidi w:val="0"/>
        <w:spacing w:line="400" w:lineRule="exact"/>
        <w:rPr>
          <w:rFonts w:hint="eastAsia"/>
          <w:highlight w:val="none"/>
          <w:lang w:eastAsia="zh-CN"/>
        </w:rPr>
      </w:pPr>
    </w:p>
    <w:p w14:paraId="1DE84BDE">
      <w:pPr>
        <w:pageBreakBefore w:val="0"/>
        <w:tabs>
          <w:tab w:val="left" w:pos="735"/>
        </w:tabs>
        <w:kinsoku/>
        <w:wordWrap/>
        <w:overflowPunct/>
        <w:topLinePunct w:val="0"/>
        <w:autoSpaceDE w:val="0"/>
        <w:autoSpaceDN w:val="0"/>
        <w:bidi w:val="0"/>
        <w:adjustRightInd w:val="0"/>
        <w:snapToGrid w:val="0"/>
        <w:spacing w:line="400" w:lineRule="exact"/>
        <w:ind w:firstLine="482" w:firstLineChars="200"/>
        <w:rPr>
          <w:rFonts w:hint="eastAsia" w:ascii="宋体" w:hAnsi="宋体" w:cs="宋体"/>
          <w:b/>
          <w:bCs/>
          <w:sz w:val="24"/>
          <w:szCs w:val="24"/>
          <w:highlight w:val="none"/>
          <w:lang w:val="zh-CN"/>
        </w:rPr>
      </w:pPr>
      <w:r>
        <w:rPr>
          <w:rFonts w:hint="eastAsia" w:ascii="宋体" w:hAnsi="宋体" w:cs="宋体"/>
          <w:b/>
          <w:bCs/>
          <w:sz w:val="24"/>
          <w:szCs w:val="24"/>
          <w:highlight w:val="none"/>
          <w:lang w:val="zh-CN"/>
        </w:rPr>
        <w:t>甲方：</w:t>
      </w:r>
      <w:r>
        <w:rPr>
          <w:rFonts w:hint="eastAsia" w:ascii="宋体" w:hAnsi="宋体" w:cs="宋体"/>
          <w:bCs/>
          <w:sz w:val="24"/>
          <w:szCs w:val="24"/>
          <w:highlight w:val="none"/>
          <w:lang w:val="zh-CN"/>
        </w:rPr>
        <w:t>（前款所称采购人）</w:t>
      </w:r>
    </w:p>
    <w:p w14:paraId="02120D3F">
      <w:pPr>
        <w:pageBreakBefore w:val="0"/>
        <w:tabs>
          <w:tab w:val="left" w:pos="735"/>
        </w:tabs>
        <w:kinsoku/>
        <w:wordWrap/>
        <w:overflowPunct/>
        <w:topLinePunct w:val="0"/>
        <w:autoSpaceDE w:val="0"/>
        <w:autoSpaceDN w:val="0"/>
        <w:bidi w:val="0"/>
        <w:adjustRightInd w:val="0"/>
        <w:snapToGrid w:val="0"/>
        <w:spacing w:line="400" w:lineRule="exact"/>
        <w:ind w:firstLine="482" w:firstLineChars="200"/>
        <w:rPr>
          <w:rFonts w:hint="eastAsia" w:ascii="宋体" w:hAnsi="宋体" w:cs="宋体"/>
          <w:bCs/>
          <w:sz w:val="24"/>
          <w:szCs w:val="24"/>
          <w:highlight w:val="none"/>
          <w:lang w:val="zh-CN"/>
        </w:rPr>
      </w:pPr>
      <w:r>
        <w:rPr>
          <w:rFonts w:hint="eastAsia" w:ascii="宋体" w:hAnsi="宋体" w:cs="宋体"/>
          <w:b/>
          <w:bCs/>
          <w:sz w:val="24"/>
          <w:szCs w:val="24"/>
          <w:highlight w:val="none"/>
          <w:lang w:val="zh-CN"/>
        </w:rPr>
        <w:t>乙方：</w:t>
      </w:r>
      <w:r>
        <w:rPr>
          <w:rFonts w:hint="eastAsia" w:ascii="宋体" w:hAnsi="宋体" w:cs="宋体"/>
          <w:bCs/>
          <w:sz w:val="24"/>
          <w:szCs w:val="24"/>
          <w:highlight w:val="none"/>
          <w:lang w:val="zh-CN"/>
        </w:rPr>
        <w:t>（前款所称中标单位）</w:t>
      </w:r>
    </w:p>
    <w:p w14:paraId="5F12335B">
      <w:pPr>
        <w:pStyle w:val="2"/>
        <w:pageBreakBefore w:val="0"/>
        <w:kinsoku/>
        <w:wordWrap/>
        <w:overflowPunct/>
        <w:topLinePunct w:val="0"/>
        <w:bidi w:val="0"/>
        <w:spacing w:line="400" w:lineRule="exact"/>
        <w:ind w:firstLine="480" w:firstLineChars="200"/>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zh-CN" w:eastAsia="zh-CN" w:bidi="ar-SA"/>
        </w:rPr>
        <w:t>根据《中华人民共和国政府采购法》、《中华人民共和国民法典》、《中华人民共和国政府采购法实施条例》等法律法规，甲方通过公开招标，选定乙方为中标单位。</w:t>
      </w:r>
    </w:p>
    <w:p w14:paraId="295CD103">
      <w:pPr>
        <w:pStyle w:val="2"/>
        <w:pageBreakBefore w:val="0"/>
        <w:kinsoku/>
        <w:wordWrap/>
        <w:overflowPunct/>
        <w:topLinePunct w:val="0"/>
        <w:bidi w:val="0"/>
        <w:spacing w:line="400" w:lineRule="exact"/>
        <w:ind w:firstLine="480" w:firstLineChars="200"/>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zh-CN" w:eastAsia="zh-CN" w:bidi="ar-SA"/>
        </w:rPr>
        <w:t>甲、乙双方在平等基础上协商一致，达成如下合同条款:</w:t>
      </w:r>
    </w:p>
    <w:p w14:paraId="295A91A8">
      <w:pPr>
        <w:pStyle w:val="3"/>
        <w:pageBreakBefore w:val="0"/>
        <w:kinsoku/>
        <w:wordWrap/>
        <w:overflowPunct/>
        <w:topLinePunct w:val="0"/>
        <w:bidi w:val="0"/>
        <w:spacing w:line="400" w:lineRule="exact"/>
        <w:rPr>
          <w:rFonts w:hint="eastAsia" w:ascii="宋体" w:hAnsi="宋体" w:eastAsia="宋体" w:cs="宋体"/>
          <w:sz w:val="24"/>
          <w:szCs w:val="24"/>
          <w:highlight w:val="none"/>
          <w:lang w:val="zh-CN"/>
        </w:rPr>
      </w:pPr>
      <w:bookmarkStart w:id="0" w:name="_Toc31593"/>
      <w:bookmarkStart w:id="1" w:name="_Toc1896"/>
      <w:r>
        <w:rPr>
          <w:rFonts w:hint="eastAsia" w:ascii="宋体" w:hAnsi="宋体" w:eastAsia="宋体" w:cs="宋体"/>
          <w:sz w:val="24"/>
          <w:szCs w:val="24"/>
          <w:highlight w:val="none"/>
          <w:lang w:val="zh-CN"/>
        </w:rPr>
        <w:t>一、合同内容:</w:t>
      </w:r>
      <w:bookmarkEnd w:id="0"/>
      <w:bookmarkEnd w:id="1"/>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257"/>
        <w:gridCol w:w="873"/>
        <w:gridCol w:w="1065"/>
        <w:gridCol w:w="1065"/>
        <w:gridCol w:w="1065"/>
        <w:gridCol w:w="1066"/>
        <w:gridCol w:w="1066"/>
      </w:tblGrid>
      <w:tr w14:paraId="793F8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0" w:type="dxa"/>
            <w:vAlign w:val="center"/>
          </w:tcPr>
          <w:p w14:paraId="79CC792D">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val="0"/>
                <w:bCs/>
                <w:sz w:val="24"/>
                <w:szCs w:val="24"/>
                <w:highlight w:val="none"/>
                <w:vertAlign w:val="baseline"/>
                <w:lang w:val="zh-CN" w:eastAsia="zh-CN"/>
              </w:rPr>
            </w:pPr>
            <w:bookmarkStart w:id="2" w:name="_Toc16955"/>
            <w:bookmarkStart w:id="3" w:name="_Toc13753"/>
            <w:r>
              <w:rPr>
                <w:rFonts w:hint="eastAsia" w:ascii="宋体" w:hAnsi="宋体" w:eastAsia="宋体" w:cs="宋体"/>
                <w:b/>
                <w:bCs/>
                <w:color w:val="000000"/>
                <w:kern w:val="0"/>
                <w:sz w:val="24"/>
                <w:szCs w:val="24"/>
                <w:highlight w:val="none"/>
                <w:lang w:val="en-US" w:eastAsia="zh-CN" w:bidi="ar"/>
              </w:rPr>
              <w:t>序号</w:t>
            </w:r>
          </w:p>
        </w:tc>
        <w:tc>
          <w:tcPr>
            <w:tcW w:w="1383" w:type="dxa"/>
            <w:vAlign w:val="center"/>
          </w:tcPr>
          <w:p w14:paraId="4F251C0A">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val="0"/>
                <w:bCs/>
                <w:sz w:val="24"/>
                <w:szCs w:val="24"/>
                <w:highlight w:val="none"/>
                <w:vertAlign w:val="baseline"/>
                <w:lang w:val="zh-CN" w:eastAsia="zh-CN"/>
              </w:rPr>
            </w:pPr>
            <w:r>
              <w:rPr>
                <w:rFonts w:hint="eastAsia" w:ascii="宋体" w:hAnsi="宋体" w:eastAsia="宋体" w:cs="宋体"/>
                <w:b/>
                <w:bCs/>
                <w:color w:val="000000"/>
                <w:kern w:val="0"/>
                <w:sz w:val="24"/>
                <w:szCs w:val="24"/>
                <w:highlight w:val="none"/>
                <w:lang w:val="en-US" w:eastAsia="zh-CN" w:bidi="ar"/>
              </w:rPr>
              <w:t>设备</w:t>
            </w:r>
            <w:r>
              <w:rPr>
                <w:rFonts w:hint="eastAsia" w:ascii="宋体" w:hAnsi="宋体" w:cs="宋体"/>
                <w:b/>
                <w:bCs/>
                <w:color w:val="000000"/>
                <w:kern w:val="0"/>
                <w:sz w:val="24"/>
                <w:szCs w:val="24"/>
                <w:highlight w:val="none"/>
                <w:lang w:val="en-US" w:eastAsia="zh-CN" w:bidi="ar"/>
              </w:rPr>
              <w:t>名</w:t>
            </w:r>
            <w:r>
              <w:rPr>
                <w:rFonts w:hint="eastAsia" w:ascii="宋体" w:hAnsi="宋体" w:eastAsia="宋体" w:cs="宋体"/>
                <w:b/>
                <w:bCs/>
                <w:color w:val="000000"/>
                <w:kern w:val="0"/>
                <w:sz w:val="24"/>
                <w:szCs w:val="24"/>
                <w:highlight w:val="none"/>
                <w:lang w:val="en-US" w:eastAsia="zh-CN" w:bidi="ar"/>
              </w:rPr>
              <w:t>称</w:t>
            </w:r>
          </w:p>
        </w:tc>
        <w:tc>
          <w:tcPr>
            <w:tcW w:w="938" w:type="dxa"/>
            <w:vAlign w:val="center"/>
          </w:tcPr>
          <w:p w14:paraId="66B3F434">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val="0"/>
                <w:bCs/>
                <w:sz w:val="24"/>
                <w:szCs w:val="24"/>
                <w:highlight w:val="none"/>
                <w:vertAlign w:val="baseline"/>
                <w:lang w:val="zh-CN" w:eastAsia="zh-CN"/>
              </w:rPr>
            </w:pPr>
            <w:r>
              <w:rPr>
                <w:rFonts w:hint="eastAsia" w:ascii="宋体" w:hAnsi="宋体" w:eastAsia="宋体" w:cs="宋体"/>
                <w:b/>
                <w:bCs/>
                <w:color w:val="000000"/>
                <w:kern w:val="0"/>
                <w:sz w:val="24"/>
                <w:szCs w:val="24"/>
                <w:highlight w:val="none"/>
                <w:lang w:val="en-US" w:eastAsia="zh-CN" w:bidi="ar"/>
              </w:rPr>
              <w:t>型号</w:t>
            </w:r>
          </w:p>
        </w:tc>
        <w:tc>
          <w:tcPr>
            <w:tcW w:w="1161" w:type="dxa"/>
            <w:vAlign w:val="center"/>
          </w:tcPr>
          <w:p w14:paraId="23E65DB3">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val="0"/>
                <w:bCs/>
                <w:sz w:val="24"/>
                <w:szCs w:val="24"/>
                <w:highlight w:val="none"/>
                <w:vertAlign w:val="baseline"/>
                <w:lang w:val="zh-CN" w:eastAsia="zh-CN"/>
              </w:rPr>
            </w:pPr>
            <w:r>
              <w:rPr>
                <w:rFonts w:hint="eastAsia" w:ascii="宋体" w:hAnsi="宋体" w:eastAsia="宋体" w:cs="宋体"/>
                <w:b/>
                <w:bCs/>
                <w:color w:val="000000"/>
                <w:kern w:val="0"/>
                <w:sz w:val="24"/>
                <w:szCs w:val="24"/>
                <w:highlight w:val="none"/>
                <w:lang w:val="en-US" w:eastAsia="zh-CN" w:bidi="ar"/>
              </w:rPr>
              <w:t>产地</w:t>
            </w:r>
          </w:p>
        </w:tc>
        <w:tc>
          <w:tcPr>
            <w:tcW w:w="1161" w:type="dxa"/>
            <w:vAlign w:val="center"/>
          </w:tcPr>
          <w:p w14:paraId="2527CA4C">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val="0"/>
                <w:bCs/>
                <w:sz w:val="24"/>
                <w:szCs w:val="24"/>
                <w:highlight w:val="none"/>
                <w:vertAlign w:val="baseline"/>
                <w:lang w:val="zh-CN" w:eastAsia="zh-CN"/>
              </w:rPr>
            </w:pPr>
            <w:r>
              <w:rPr>
                <w:rFonts w:hint="eastAsia" w:ascii="宋体" w:hAnsi="宋体" w:eastAsia="宋体" w:cs="宋体"/>
                <w:b/>
                <w:bCs/>
                <w:color w:val="000000"/>
                <w:kern w:val="0"/>
                <w:sz w:val="24"/>
                <w:szCs w:val="24"/>
                <w:highlight w:val="none"/>
                <w:lang w:val="en-US" w:eastAsia="zh-CN" w:bidi="ar"/>
              </w:rPr>
              <w:t>数量</w:t>
            </w:r>
          </w:p>
        </w:tc>
        <w:tc>
          <w:tcPr>
            <w:tcW w:w="1161" w:type="dxa"/>
            <w:vAlign w:val="center"/>
          </w:tcPr>
          <w:p w14:paraId="7DCC7D51">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val="0"/>
                <w:bCs/>
                <w:sz w:val="24"/>
                <w:szCs w:val="24"/>
                <w:highlight w:val="none"/>
                <w:vertAlign w:val="baseline"/>
                <w:lang w:val="zh-CN" w:eastAsia="zh-CN"/>
              </w:rPr>
            </w:pPr>
            <w:r>
              <w:rPr>
                <w:rFonts w:hint="eastAsia" w:ascii="宋体" w:hAnsi="宋体" w:eastAsia="宋体" w:cs="宋体"/>
                <w:b/>
                <w:bCs/>
                <w:color w:val="000000"/>
                <w:kern w:val="0"/>
                <w:sz w:val="24"/>
                <w:szCs w:val="24"/>
                <w:highlight w:val="none"/>
                <w:lang w:val="en-US" w:eastAsia="zh-CN" w:bidi="ar"/>
              </w:rPr>
              <w:t>单价</w:t>
            </w:r>
          </w:p>
        </w:tc>
        <w:tc>
          <w:tcPr>
            <w:tcW w:w="1161" w:type="dxa"/>
            <w:vAlign w:val="center"/>
          </w:tcPr>
          <w:p w14:paraId="429F2F3F">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val="0"/>
                <w:bCs/>
                <w:sz w:val="24"/>
                <w:szCs w:val="24"/>
                <w:highlight w:val="none"/>
                <w:vertAlign w:val="baseline"/>
                <w:lang w:val="zh-CN" w:eastAsia="zh-CN"/>
              </w:rPr>
            </w:pPr>
            <w:r>
              <w:rPr>
                <w:rFonts w:hint="eastAsia" w:ascii="宋体" w:hAnsi="宋体" w:eastAsia="宋体" w:cs="宋体"/>
                <w:b/>
                <w:bCs/>
                <w:color w:val="000000"/>
                <w:kern w:val="0"/>
                <w:sz w:val="24"/>
                <w:szCs w:val="24"/>
                <w:highlight w:val="none"/>
                <w:lang w:val="en-US" w:eastAsia="zh-CN" w:bidi="ar"/>
              </w:rPr>
              <w:t>总价</w:t>
            </w:r>
          </w:p>
        </w:tc>
        <w:tc>
          <w:tcPr>
            <w:tcW w:w="1161" w:type="dxa"/>
            <w:vAlign w:val="center"/>
          </w:tcPr>
          <w:p w14:paraId="78852F99">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val="0"/>
                <w:bCs/>
                <w:sz w:val="24"/>
                <w:szCs w:val="24"/>
                <w:highlight w:val="none"/>
                <w:vertAlign w:val="baseline"/>
                <w:lang w:val="zh-CN" w:eastAsia="zh-CN"/>
              </w:rPr>
            </w:pPr>
            <w:r>
              <w:rPr>
                <w:rFonts w:hint="eastAsia" w:ascii="宋体" w:hAnsi="宋体" w:eastAsia="宋体" w:cs="宋体"/>
                <w:b/>
                <w:bCs/>
                <w:color w:val="000000"/>
                <w:kern w:val="0"/>
                <w:sz w:val="24"/>
                <w:szCs w:val="24"/>
                <w:highlight w:val="none"/>
                <w:lang w:val="en-US" w:eastAsia="zh-CN" w:bidi="ar"/>
              </w:rPr>
              <w:t>备注</w:t>
            </w:r>
          </w:p>
        </w:tc>
      </w:tr>
      <w:tr w14:paraId="6E0B7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0" w:type="dxa"/>
            <w:vAlign w:val="center"/>
          </w:tcPr>
          <w:p w14:paraId="5DC1AEF7">
            <w:pPr>
              <w:keepNext w:val="0"/>
              <w:keepLines w:val="0"/>
              <w:pageBreakBefore w:val="0"/>
              <w:widowControl/>
              <w:suppressLineNumbers w:val="0"/>
              <w:kinsoku/>
              <w:wordWrap/>
              <w:overflowPunct/>
              <w:topLinePunct w:val="0"/>
              <w:bidi w:val="0"/>
              <w:spacing w:line="400" w:lineRule="exact"/>
              <w:jc w:val="center"/>
              <w:rPr>
                <w:rFonts w:hint="default"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1</w:t>
            </w:r>
          </w:p>
        </w:tc>
        <w:tc>
          <w:tcPr>
            <w:tcW w:w="1383" w:type="dxa"/>
            <w:vAlign w:val="center"/>
          </w:tcPr>
          <w:p w14:paraId="39CA5A6A">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938" w:type="dxa"/>
            <w:vAlign w:val="center"/>
          </w:tcPr>
          <w:p w14:paraId="7973A12F">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15FA9A57">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3485B74C">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6D60111D">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416B409B">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475E65AB">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r>
      <w:tr w14:paraId="19946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0" w:type="dxa"/>
            <w:vAlign w:val="center"/>
          </w:tcPr>
          <w:p w14:paraId="14CE5FED">
            <w:pPr>
              <w:keepNext w:val="0"/>
              <w:keepLines w:val="0"/>
              <w:pageBreakBefore w:val="0"/>
              <w:widowControl/>
              <w:suppressLineNumbers w:val="0"/>
              <w:kinsoku/>
              <w:wordWrap/>
              <w:overflowPunct/>
              <w:topLinePunct w:val="0"/>
              <w:bidi w:val="0"/>
              <w:spacing w:line="400" w:lineRule="exact"/>
              <w:jc w:val="center"/>
              <w:rPr>
                <w:rFonts w:hint="default"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2</w:t>
            </w:r>
          </w:p>
        </w:tc>
        <w:tc>
          <w:tcPr>
            <w:tcW w:w="1383" w:type="dxa"/>
            <w:vAlign w:val="center"/>
          </w:tcPr>
          <w:p w14:paraId="4A662F88">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938" w:type="dxa"/>
            <w:vAlign w:val="center"/>
          </w:tcPr>
          <w:p w14:paraId="731166CD">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300D25BE">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57FFC844">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4C08F16F">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54D409C7">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21D309E8">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r>
      <w:tr w14:paraId="34C9C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0" w:type="dxa"/>
            <w:vAlign w:val="center"/>
          </w:tcPr>
          <w:p w14:paraId="6586A9F5">
            <w:pPr>
              <w:keepNext w:val="0"/>
              <w:keepLines w:val="0"/>
              <w:pageBreakBefore w:val="0"/>
              <w:widowControl/>
              <w:suppressLineNumbers w:val="0"/>
              <w:kinsoku/>
              <w:wordWrap/>
              <w:overflowPunct/>
              <w:topLinePunct w:val="0"/>
              <w:bidi w:val="0"/>
              <w:spacing w:line="400" w:lineRule="exact"/>
              <w:jc w:val="center"/>
              <w:rPr>
                <w:rFonts w:hint="default"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3</w:t>
            </w:r>
          </w:p>
        </w:tc>
        <w:tc>
          <w:tcPr>
            <w:tcW w:w="1383" w:type="dxa"/>
            <w:vAlign w:val="center"/>
          </w:tcPr>
          <w:p w14:paraId="73BB4E93">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938" w:type="dxa"/>
            <w:vAlign w:val="center"/>
          </w:tcPr>
          <w:p w14:paraId="1E9C6936">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3816387E">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22218ED1">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54EFD15B">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5F08CEAF">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c>
          <w:tcPr>
            <w:tcW w:w="1161" w:type="dxa"/>
            <w:vAlign w:val="center"/>
          </w:tcPr>
          <w:p w14:paraId="19FFDBAE">
            <w:pPr>
              <w:keepNext w:val="0"/>
              <w:keepLines w:val="0"/>
              <w:pageBreakBefore w:val="0"/>
              <w:widowControl/>
              <w:suppressLineNumbers w:val="0"/>
              <w:kinsoku/>
              <w:wordWrap/>
              <w:overflowPunct/>
              <w:topLinePunct w:val="0"/>
              <w:bidi w:val="0"/>
              <w:spacing w:line="400" w:lineRule="exact"/>
              <w:jc w:val="center"/>
              <w:rPr>
                <w:rFonts w:hint="eastAsia" w:ascii="宋体" w:hAnsi="宋体" w:eastAsia="宋体" w:cs="宋体"/>
                <w:b/>
                <w:bCs/>
                <w:color w:val="000000"/>
                <w:kern w:val="0"/>
                <w:sz w:val="24"/>
                <w:szCs w:val="24"/>
                <w:highlight w:val="none"/>
                <w:lang w:val="en-US" w:eastAsia="zh-CN" w:bidi="ar"/>
              </w:rPr>
            </w:pPr>
          </w:p>
        </w:tc>
      </w:tr>
      <w:tr w14:paraId="282C7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43" w:type="dxa"/>
            <w:gridSpan w:val="2"/>
            <w:vAlign w:val="center"/>
          </w:tcPr>
          <w:p w14:paraId="13DBFAAA">
            <w:pPr>
              <w:keepNext w:val="0"/>
              <w:keepLines w:val="0"/>
              <w:pageBreakBefore w:val="0"/>
              <w:widowControl/>
              <w:suppressLineNumbers w:val="0"/>
              <w:kinsoku/>
              <w:wordWrap/>
              <w:overflowPunct/>
              <w:topLinePunct w:val="0"/>
              <w:bidi w:val="0"/>
              <w:spacing w:line="400" w:lineRule="exact"/>
              <w:jc w:val="left"/>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总计（人民币/元）</w:t>
            </w:r>
          </w:p>
        </w:tc>
        <w:tc>
          <w:tcPr>
            <w:tcW w:w="6743" w:type="dxa"/>
            <w:gridSpan w:val="6"/>
            <w:vAlign w:val="center"/>
          </w:tcPr>
          <w:p w14:paraId="6F3DBECC">
            <w:pPr>
              <w:keepNext w:val="0"/>
              <w:keepLines w:val="0"/>
              <w:pageBreakBefore w:val="0"/>
              <w:widowControl/>
              <w:suppressLineNumbers w:val="0"/>
              <w:kinsoku/>
              <w:wordWrap/>
              <w:overflowPunct/>
              <w:topLinePunct w:val="0"/>
              <w:bidi w:val="0"/>
              <w:spacing w:line="400" w:lineRule="exact"/>
              <w:jc w:val="left"/>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w:t>
            </w:r>
            <w:r>
              <w:rPr>
                <w:rFonts w:hint="eastAsia" w:ascii="宋体" w:hAnsi="宋体" w:eastAsia="宋体" w:cs="宋体"/>
                <w:b/>
                <w:bCs/>
                <w:color w:val="000000"/>
                <w:kern w:val="0"/>
                <w:sz w:val="24"/>
                <w:szCs w:val="24"/>
                <w:highlight w:val="none"/>
                <w:u w:val="single"/>
                <w:lang w:val="en-US" w:eastAsia="zh-CN" w:bidi="ar"/>
              </w:rPr>
              <w:t xml:space="preserve">      </w:t>
            </w:r>
            <w:r>
              <w:rPr>
                <w:rFonts w:hint="eastAsia" w:ascii="宋体" w:hAnsi="宋体" w:eastAsia="宋体" w:cs="宋体"/>
                <w:b/>
                <w:bCs/>
                <w:color w:val="000000"/>
                <w:kern w:val="0"/>
                <w:sz w:val="24"/>
                <w:szCs w:val="24"/>
                <w:highlight w:val="none"/>
                <w:lang w:val="en-US" w:eastAsia="zh-CN" w:bidi="ar"/>
              </w:rPr>
              <w:t>（大写：</w:t>
            </w:r>
            <w:r>
              <w:rPr>
                <w:rFonts w:hint="eastAsia" w:ascii="宋体" w:hAnsi="宋体" w:eastAsia="宋体" w:cs="宋体"/>
                <w:b/>
                <w:bCs/>
                <w:color w:val="000000"/>
                <w:kern w:val="0"/>
                <w:sz w:val="24"/>
                <w:szCs w:val="24"/>
                <w:highlight w:val="none"/>
                <w:u w:val="single"/>
                <w:lang w:val="en-US" w:eastAsia="zh-CN" w:bidi="ar"/>
              </w:rPr>
              <w:t xml:space="preserve">        </w:t>
            </w:r>
            <w:r>
              <w:rPr>
                <w:rFonts w:hint="eastAsia" w:ascii="宋体" w:hAnsi="宋体" w:eastAsia="宋体" w:cs="宋体"/>
                <w:b/>
                <w:bCs/>
                <w:color w:val="000000"/>
                <w:kern w:val="0"/>
                <w:sz w:val="24"/>
                <w:szCs w:val="24"/>
                <w:highlight w:val="none"/>
                <w:lang w:val="en-US" w:eastAsia="zh-CN" w:bidi="ar"/>
              </w:rPr>
              <w:t xml:space="preserve"> ）</w:t>
            </w:r>
          </w:p>
        </w:tc>
      </w:tr>
    </w:tbl>
    <w:p w14:paraId="5CAF7500">
      <w:pPr>
        <w:pageBreakBefore w:val="0"/>
        <w:kinsoku/>
        <w:wordWrap/>
        <w:overflowPunct/>
        <w:topLinePunct w:val="0"/>
        <w:bidi w:val="0"/>
        <w:adjustRightInd w:val="0"/>
        <w:snapToGrid w:val="0"/>
        <w:spacing w:line="400" w:lineRule="exact"/>
        <w:rPr>
          <w:rFonts w:hint="eastAsia" w:ascii="宋体" w:hAnsi="宋体" w:cs="宋体"/>
          <w:sz w:val="24"/>
          <w:szCs w:val="24"/>
          <w:highlight w:val="none"/>
          <w:lang w:val="zh-CN"/>
        </w:rPr>
      </w:pPr>
      <w:r>
        <w:rPr>
          <w:rFonts w:hint="eastAsia" w:ascii="宋体" w:hAnsi="宋体" w:cs="宋体"/>
          <w:sz w:val="24"/>
          <w:szCs w:val="24"/>
          <w:highlight w:val="none"/>
          <w:lang w:val="zh-CN" w:eastAsia="zh-CN"/>
        </w:rPr>
        <w:t xml:space="preserve">（参数较多可以附件说明） </w:t>
      </w:r>
    </w:p>
    <w:p w14:paraId="5F91DA1D">
      <w:pPr>
        <w:pageBreakBefore w:val="0"/>
        <w:kinsoku/>
        <w:wordWrap/>
        <w:overflowPunct/>
        <w:topLinePunct w:val="0"/>
        <w:bidi w:val="0"/>
        <w:adjustRightInd w:val="0"/>
        <w:snapToGrid w:val="0"/>
        <w:spacing w:line="400" w:lineRule="exact"/>
        <w:ind w:firstLine="480" w:firstLineChars="200"/>
        <w:rPr>
          <w:rFonts w:hint="eastAsia" w:ascii="宋体" w:hAnsi="宋体" w:cs="宋体"/>
          <w:sz w:val="24"/>
          <w:szCs w:val="24"/>
          <w:highlight w:val="none"/>
          <w:lang w:val="zh-CN"/>
        </w:rPr>
      </w:pPr>
      <w:r>
        <w:rPr>
          <w:rFonts w:hint="eastAsia" w:ascii="宋体" w:hAnsi="宋体" w:cs="宋体"/>
          <w:sz w:val="24"/>
          <w:szCs w:val="24"/>
          <w:highlight w:val="none"/>
          <w:lang w:val="zh-CN" w:eastAsia="zh-CN"/>
        </w:rPr>
        <w:t>乙方负责按以上确定的设备规格、型号及配套内容进行供货，及时运到甲方指定交货地点安装调试，确保所有设备达到最佳运行状态，负责对甲方操作、维护人员进行培训，指导操作、使用和维修保养，做好售后服务工作。</w:t>
      </w:r>
    </w:p>
    <w:p w14:paraId="0F1BB8D3">
      <w:pPr>
        <w:pStyle w:val="3"/>
        <w:pageBreakBefore w:val="0"/>
        <w:kinsoku/>
        <w:wordWrap/>
        <w:overflowPunct/>
        <w:topLinePunct w:val="0"/>
        <w:bidi w:val="0"/>
        <w:spacing w:line="400" w:lineRule="exac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二、合同价款：</w:t>
      </w:r>
      <w:bookmarkEnd w:id="2"/>
      <w:bookmarkEnd w:id="3"/>
    </w:p>
    <w:p w14:paraId="6AFE1465">
      <w:pPr>
        <w:pageBreakBefore w:val="0"/>
        <w:kinsoku/>
        <w:wordWrap/>
        <w:overflowPunct/>
        <w:topLinePunct w:val="0"/>
        <w:bidi w:val="0"/>
        <w:adjustRightInd w:val="0"/>
        <w:snapToGrid w:val="0"/>
        <w:spacing w:line="4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1、合同总价：</w:t>
      </w:r>
      <w:r>
        <w:rPr>
          <w:rFonts w:hint="eastAsia" w:ascii="宋体" w:hAnsi="宋体" w:cs="宋体"/>
          <w:sz w:val="24"/>
          <w:szCs w:val="24"/>
          <w:highlight w:val="none"/>
          <w:lang w:val="en-US" w:eastAsia="zh-CN"/>
        </w:rPr>
        <w:t>人民币大写：</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CN"/>
        </w:rPr>
        <w:t>元整；￥</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CN"/>
        </w:rPr>
        <w:t xml:space="preserve">元。 </w:t>
      </w:r>
    </w:p>
    <w:p w14:paraId="5D58BDE2">
      <w:pPr>
        <w:pageBreakBefore w:val="0"/>
        <w:kinsoku/>
        <w:wordWrap/>
        <w:overflowPunct/>
        <w:topLinePunct w:val="0"/>
        <w:bidi w:val="0"/>
        <w:adjustRightInd w:val="0"/>
        <w:snapToGrid w:val="0"/>
        <w:spacing w:line="4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2、合同总价：包括新设备制造费、保管费、运杂费、装卸费、保险费、管理费、改造费、安装调试费、垃圾清运费检测验收费、专用工具、备品备件、技术资料、培训费、税金及其它相关的一切费用。</w:t>
      </w:r>
    </w:p>
    <w:p w14:paraId="42D06F90">
      <w:pPr>
        <w:pageBreakBefore w:val="0"/>
        <w:tabs>
          <w:tab w:val="left" w:pos="735"/>
        </w:tabs>
        <w:kinsoku/>
        <w:wordWrap/>
        <w:overflowPunct/>
        <w:topLinePunct w:val="0"/>
        <w:bidi w:val="0"/>
        <w:adjustRightInd w:val="0"/>
        <w:snapToGrid w:val="0"/>
        <w:spacing w:line="400" w:lineRule="exact"/>
        <w:ind w:firstLine="504" w:firstLineChars="210"/>
        <w:rPr>
          <w:rFonts w:hint="eastAsia" w:ascii="宋体" w:hAnsi="宋体" w:cs="宋体"/>
          <w:sz w:val="24"/>
          <w:szCs w:val="24"/>
          <w:highlight w:val="none"/>
        </w:rPr>
      </w:pPr>
      <w:r>
        <w:rPr>
          <w:rFonts w:hint="eastAsia" w:ascii="宋体" w:hAnsi="宋体" w:cs="宋体"/>
          <w:sz w:val="24"/>
          <w:szCs w:val="24"/>
          <w:highlight w:val="none"/>
        </w:rPr>
        <w:t>3、合同总价一次包死，不受市场价变化的影响。</w:t>
      </w:r>
    </w:p>
    <w:p w14:paraId="30AE1420">
      <w:pPr>
        <w:pStyle w:val="3"/>
        <w:pageBreakBefore w:val="0"/>
        <w:kinsoku/>
        <w:wordWrap/>
        <w:overflowPunct/>
        <w:topLinePunct w:val="0"/>
        <w:bidi w:val="0"/>
        <w:spacing w:line="400" w:lineRule="exact"/>
        <w:rPr>
          <w:rFonts w:hint="eastAsia" w:ascii="宋体" w:hAnsi="宋体" w:eastAsia="宋体" w:cs="宋体"/>
          <w:sz w:val="24"/>
          <w:szCs w:val="24"/>
          <w:highlight w:val="none"/>
          <w:lang w:val="zh-CN"/>
        </w:rPr>
      </w:pPr>
      <w:bookmarkStart w:id="4" w:name="_Toc18956"/>
      <w:bookmarkStart w:id="5" w:name="_Toc13431"/>
      <w:r>
        <w:rPr>
          <w:rFonts w:hint="eastAsia" w:ascii="宋体" w:hAnsi="宋体" w:eastAsia="宋体" w:cs="宋体"/>
          <w:sz w:val="24"/>
          <w:szCs w:val="24"/>
          <w:highlight w:val="none"/>
          <w:lang w:val="zh-CN"/>
        </w:rPr>
        <w:t>三、合同结算：</w:t>
      </w:r>
      <w:bookmarkEnd w:id="4"/>
      <w:bookmarkEnd w:id="5"/>
    </w:p>
    <w:p w14:paraId="7E1A8F1F">
      <w:pPr>
        <w:pageBreakBefore w:val="0"/>
        <w:kinsoku/>
        <w:wordWrap/>
        <w:overflowPunct/>
        <w:topLinePunct w:val="0"/>
        <w:autoSpaceDE w:val="0"/>
        <w:autoSpaceDN w:val="0"/>
        <w:bidi w:val="0"/>
        <w:adjustRightInd w:val="0"/>
        <w:snapToGrid w:val="0"/>
        <w:spacing w:line="400" w:lineRule="exact"/>
        <w:ind w:firstLine="646"/>
        <w:rPr>
          <w:rFonts w:hint="eastAsia" w:ascii="宋体" w:hAnsi="宋体" w:cs="宋体"/>
          <w:color w:val="000000"/>
          <w:sz w:val="24"/>
          <w:szCs w:val="24"/>
          <w:highlight w:val="none"/>
        </w:rPr>
      </w:pPr>
      <w:r>
        <w:rPr>
          <w:rFonts w:hint="eastAsia" w:ascii="宋体" w:hAnsi="宋体" w:cs="宋体"/>
          <w:color w:val="000000"/>
          <w:sz w:val="24"/>
          <w:szCs w:val="24"/>
          <w:highlight w:val="none"/>
        </w:rPr>
        <w:t>1、付款比例：</w:t>
      </w:r>
    </w:p>
    <w:p w14:paraId="3D5CF0E4">
      <w:pPr>
        <w:pageBreakBefore w:val="0"/>
        <w:kinsoku/>
        <w:wordWrap/>
        <w:overflowPunct/>
        <w:topLinePunct w:val="0"/>
        <w:autoSpaceDE w:val="0"/>
        <w:autoSpaceDN w:val="0"/>
        <w:bidi w:val="0"/>
        <w:adjustRightInd w:val="0"/>
        <w:snapToGrid w:val="0"/>
        <w:spacing w:line="400" w:lineRule="exact"/>
        <w:ind w:firstLine="645"/>
        <w:rPr>
          <w:rFonts w:hint="eastAsia" w:ascii="宋体" w:hAnsi="宋体" w:eastAsia="宋体" w:cs="宋体"/>
          <w:b w:val="0"/>
          <w:bCs w:val="0"/>
          <w:color w:val="000000"/>
          <w:sz w:val="24"/>
          <w:szCs w:val="24"/>
          <w:highlight w:val="none"/>
          <w:lang w:eastAsia="zh-CN"/>
        </w:rPr>
      </w:pPr>
      <w:r>
        <w:rPr>
          <w:rFonts w:hint="eastAsia" w:ascii="宋体" w:hAnsi="宋体" w:eastAsia="宋体" w:cs="宋体"/>
          <w:b w:val="0"/>
          <w:bCs w:val="0"/>
          <w:color w:val="000000"/>
          <w:sz w:val="24"/>
          <w:szCs w:val="24"/>
          <w:highlight w:val="none"/>
        </w:rPr>
        <w:t>设备到货验收完成</w:t>
      </w:r>
      <w:r>
        <w:rPr>
          <w:rFonts w:hint="eastAsia" w:ascii="宋体" w:hAnsi="宋体" w:cs="宋体"/>
          <w:b w:val="0"/>
          <w:bCs w:val="0"/>
          <w:color w:val="000000"/>
          <w:sz w:val="24"/>
          <w:szCs w:val="24"/>
          <w:highlight w:val="none"/>
          <w:lang w:val="en-US" w:eastAsia="zh-CN"/>
        </w:rPr>
        <w:t>后5日内</w:t>
      </w:r>
      <w:r>
        <w:rPr>
          <w:rFonts w:hint="eastAsia" w:ascii="宋体" w:hAnsi="宋体" w:eastAsia="宋体" w:cs="宋体"/>
          <w:b w:val="0"/>
          <w:bCs w:val="0"/>
          <w:color w:val="000000"/>
          <w:sz w:val="24"/>
          <w:szCs w:val="24"/>
          <w:highlight w:val="none"/>
        </w:rPr>
        <w:t>支付</w:t>
      </w:r>
      <w:r>
        <w:rPr>
          <w:rFonts w:hint="eastAsia" w:ascii="宋体" w:hAnsi="宋体" w:eastAsia="宋体" w:cs="宋体"/>
          <w:b w:val="0"/>
          <w:bCs w:val="0"/>
          <w:color w:val="000000"/>
          <w:sz w:val="24"/>
          <w:szCs w:val="24"/>
          <w:highlight w:val="none"/>
          <w:u w:val="single"/>
          <w:lang w:val="en-US" w:eastAsia="zh-CN"/>
        </w:rPr>
        <w:t>40</w:t>
      </w:r>
      <w:r>
        <w:rPr>
          <w:rFonts w:hint="eastAsia" w:ascii="宋体" w:hAnsi="宋体" w:eastAsia="宋体" w:cs="宋体"/>
          <w:b w:val="0"/>
          <w:bCs w:val="0"/>
          <w:color w:val="000000"/>
          <w:sz w:val="24"/>
          <w:szCs w:val="24"/>
          <w:highlight w:val="none"/>
          <w:u w:val="single"/>
        </w:rPr>
        <w:t>%</w:t>
      </w:r>
      <w:r>
        <w:rPr>
          <w:rFonts w:hint="eastAsia" w:ascii="宋体" w:hAnsi="宋体" w:eastAsia="宋体" w:cs="宋体"/>
          <w:b w:val="0"/>
          <w:bCs w:val="0"/>
          <w:color w:val="000000"/>
          <w:sz w:val="24"/>
          <w:szCs w:val="24"/>
          <w:highlight w:val="none"/>
        </w:rPr>
        <w:t>的合同款</w:t>
      </w: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rPr>
        <w:t>设备安装调试完毕</w:t>
      </w:r>
      <w:r>
        <w:rPr>
          <w:rFonts w:hint="eastAsia" w:ascii="宋体" w:hAnsi="宋体" w:eastAsia="宋体" w:cs="宋体"/>
          <w:b w:val="0"/>
          <w:bCs w:val="0"/>
          <w:color w:val="000000"/>
          <w:sz w:val="24"/>
          <w:szCs w:val="24"/>
          <w:highlight w:val="none"/>
          <w:lang w:eastAsia="zh-CN"/>
        </w:rPr>
        <w:t>后、</w:t>
      </w:r>
      <w:r>
        <w:rPr>
          <w:rFonts w:hint="eastAsia" w:ascii="宋体" w:hAnsi="宋体" w:eastAsia="宋体" w:cs="宋体"/>
          <w:b w:val="0"/>
          <w:bCs w:val="0"/>
          <w:color w:val="000000"/>
          <w:sz w:val="24"/>
          <w:szCs w:val="24"/>
          <w:highlight w:val="none"/>
        </w:rPr>
        <w:t>试运行、质量检查等最终验收合格</w:t>
      </w:r>
      <w:r>
        <w:rPr>
          <w:rFonts w:hint="eastAsia" w:ascii="宋体" w:hAnsi="宋体" w:eastAsia="宋体" w:cs="宋体"/>
          <w:b w:val="0"/>
          <w:bCs w:val="0"/>
          <w:color w:val="000000"/>
          <w:sz w:val="24"/>
          <w:szCs w:val="24"/>
          <w:highlight w:val="none"/>
          <w:lang w:eastAsia="zh-CN"/>
        </w:rPr>
        <w:t>并出具检测报告</w:t>
      </w:r>
      <w:r>
        <w:rPr>
          <w:rFonts w:hint="eastAsia" w:ascii="宋体" w:hAnsi="宋体" w:eastAsia="宋体" w:cs="宋体"/>
          <w:b w:val="0"/>
          <w:bCs w:val="0"/>
          <w:color w:val="000000"/>
          <w:sz w:val="24"/>
          <w:szCs w:val="24"/>
          <w:highlight w:val="none"/>
        </w:rPr>
        <w:t>后</w:t>
      </w:r>
      <w:r>
        <w:rPr>
          <w:rFonts w:hint="eastAsia" w:ascii="宋体" w:hAnsi="宋体" w:cs="宋体"/>
          <w:b w:val="0"/>
          <w:bCs w:val="0"/>
          <w:color w:val="000000"/>
          <w:sz w:val="24"/>
          <w:szCs w:val="24"/>
          <w:highlight w:val="none"/>
          <w:lang w:val="en-US" w:eastAsia="zh-CN"/>
        </w:rPr>
        <w:t>5日内</w:t>
      </w:r>
      <w:bookmarkStart w:id="22" w:name="_GoBack"/>
      <w:bookmarkEnd w:id="22"/>
      <w:r>
        <w:rPr>
          <w:rFonts w:hint="eastAsia" w:ascii="宋体" w:hAnsi="宋体" w:eastAsia="宋体" w:cs="宋体"/>
          <w:b w:val="0"/>
          <w:bCs w:val="0"/>
          <w:color w:val="000000"/>
          <w:sz w:val="24"/>
          <w:szCs w:val="24"/>
          <w:highlight w:val="none"/>
        </w:rPr>
        <w:t>支付</w:t>
      </w:r>
      <w:r>
        <w:rPr>
          <w:rFonts w:hint="eastAsia" w:ascii="宋体" w:hAnsi="宋体" w:eastAsia="宋体" w:cs="宋体"/>
          <w:b w:val="0"/>
          <w:bCs w:val="0"/>
          <w:color w:val="000000"/>
          <w:sz w:val="24"/>
          <w:szCs w:val="24"/>
          <w:highlight w:val="none"/>
          <w:lang w:val="en-US" w:eastAsia="zh-CN"/>
        </w:rPr>
        <w:t>剩余</w:t>
      </w:r>
      <w:r>
        <w:rPr>
          <w:rFonts w:hint="eastAsia" w:ascii="宋体" w:hAnsi="宋体" w:eastAsia="宋体" w:cs="宋体"/>
          <w:b w:val="0"/>
          <w:bCs w:val="0"/>
          <w:color w:val="000000"/>
          <w:sz w:val="24"/>
          <w:szCs w:val="24"/>
          <w:highlight w:val="none"/>
          <w:u w:val="single"/>
          <w:lang w:val="en-US" w:eastAsia="zh-CN"/>
        </w:rPr>
        <w:t>60</w:t>
      </w:r>
      <w:r>
        <w:rPr>
          <w:rFonts w:hint="eastAsia" w:ascii="宋体" w:hAnsi="宋体" w:eastAsia="宋体" w:cs="宋体"/>
          <w:b w:val="0"/>
          <w:bCs w:val="0"/>
          <w:color w:val="000000"/>
          <w:sz w:val="24"/>
          <w:szCs w:val="24"/>
          <w:highlight w:val="none"/>
          <w:u w:val="single"/>
        </w:rPr>
        <w:t>%</w:t>
      </w:r>
      <w:r>
        <w:rPr>
          <w:rFonts w:hint="eastAsia" w:ascii="宋体" w:hAnsi="宋体" w:eastAsia="宋体" w:cs="宋体"/>
          <w:b w:val="0"/>
          <w:bCs w:val="0"/>
          <w:color w:val="000000"/>
          <w:sz w:val="24"/>
          <w:szCs w:val="24"/>
          <w:highlight w:val="none"/>
        </w:rPr>
        <w:t>的合同款</w:t>
      </w:r>
      <w:r>
        <w:rPr>
          <w:rFonts w:hint="eastAsia" w:ascii="宋体" w:hAnsi="宋体" w:eastAsia="宋体" w:cs="宋体"/>
          <w:b w:val="0"/>
          <w:bCs w:val="0"/>
          <w:color w:val="000000"/>
          <w:sz w:val="24"/>
          <w:szCs w:val="24"/>
          <w:highlight w:val="none"/>
          <w:lang w:eastAsia="zh-CN"/>
        </w:rPr>
        <w:t>。</w:t>
      </w:r>
    </w:p>
    <w:p w14:paraId="6B43D93B">
      <w:pPr>
        <w:pageBreakBefore w:val="0"/>
        <w:kinsoku/>
        <w:wordWrap/>
        <w:overflowPunct/>
        <w:topLinePunct w:val="0"/>
        <w:autoSpaceDE w:val="0"/>
        <w:autoSpaceDN w:val="0"/>
        <w:bidi w:val="0"/>
        <w:adjustRightInd w:val="0"/>
        <w:snapToGrid w:val="0"/>
        <w:spacing w:line="400" w:lineRule="exact"/>
        <w:ind w:firstLine="645"/>
        <w:rPr>
          <w:rFonts w:hint="eastAsia" w:ascii="宋体" w:hAnsi="宋体" w:cs="宋体"/>
          <w:color w:val="000000"/>
          <w:sz w:val="24"/>
          <w:szCs w:val="24"/>
          <w:highlight w:val="none"/>
        </w:rPr>
      </w:pPr>
      <w:r>
        <w:rPr>
          <w:rFonts w:hint="eastAsia" w:ascii="宋体" w:hAnsi="宋体" w:cs="宋体"/>
          <w:color w:val="000000"/>
          <w:sz w:val="24"/>
          <w:szCs w:val="24"/>
          <w:highlight w:val="none"/>
        </w:rPr>
        <w:t>2、结算方式：由采购双方签订合同时具体约定。</w:t>
      </w:r>
    </w:p>
    <w:p w14:paraId="3183CFC9">
      <w:pPr>
        <w:pageBreakBefore w:val="0"/>
        <w:kinsoku/>
        <w:wordWrap/>
        <w:overflowPunct/>
        <w:topLinePunct w:val="0"/>
        <w:autoSpaceDE w:val="0"/>
        <w:autoSpaceDN w:val="0"/>
        <w:bidi w:val="0"/>
        <w:adjustRightInd w:val="0"/>
        <w:snapToGrid w:val="0"/>
        <w:spacing w:line="400" w:lineRule="exact"/>
        <w:ind w:firstLine="645"/>
        <w:rPr>
          <w:rFonts w:hint="eastAsia" w:ascii="宋体" w:hAnsi="宋体" w:cs="宋体"/>
          <w:color w:val="FF0000"/>
          <w:sz w:val="24"/>
          <w:szCs w:val="24"/>
          <w:highlight w:val="none"/>
        </w:rPr>
      </w:pPr>
      <w:r>
        <w:rPr>
          <w:rFonts w:hint="eastAsia" w:ascii="宋体" w:hAnsi="宋体" w:cs="宋体"/>
          <w:color w:val="000000"/>
          <w:sz w:val="24"/>
          <w:szCs w:val="24"/>
          <w:highlight w:val="none"/>
        </w:rPr>
        <w:t>3、结算单位：由</w:t>
      </w:r>
      <w:r>
        <w:rPr>
          <w:rFonts w:hint="eastAsia" w:ascii="宋体" w:hAnsi="宋体" w:cs="宋体"/>
          <w:color w:val="000000"/>
          <w:sz w:val="24"/>
          <w:szCs w:val="24"/>
          <w:highlight w:val="none"/>
          <w:u w:val="single"/>
        </w:rPr>
        <w:t>甲方</w:t>
      </w:r>
      <w:r>
        <w:rPr>
          <w:rFonts w:hint="eastAsia" w:ascii="宋体" w:hAnsi="宋体" w:cs="宋体"/>
          <w:color w:val="000000"/>
          <w:sz w:val="24"/>
          <w:szCs w:val="24"/>
          <w:highlight w:val="none"/>
        </w:rPr>
        <w:t>负责结算，乙方开具合同总价数的全额发票交采购人。</w:t>
      </w:r>
    </w:p>
    <w:p w14:paraId="4DB170D5">
      <w:pPr>
        <w:pStyle w:val="3"/>
        <w:pageBreakBefore w:val="0"/>
        <w:kinsoku/>
        <w:wordWrap/>
        <w:overflowPunct/>
        <w:topLinePunct w:val="0"/>
        <w:bidi w:val="0"/>
        <w:spacing w:line="400" w:lineRule="exact"/>
        <w:rPr>
          <w:rFonts w:hint="eastAsia" w:ascii="宋体" w:hAnsi="宋体" w:eastAsia="宋体" w:cs="宋体"/>
          <w:sz w:val="24"/>
          <w:szCs w:val="24"/>
          <w:highlight w:val="none"/>
          <w:lang w:val="zh-CN"/>
        </w:rPr>
      </w:pPr>
      <w:bookmarkStart w:id="6" w:name="_Toc22900"/>
      <w:bookmarkStart w:id="7" w:name="_Toc3546"/>
      <w:r>
        <w:rPr>
          <w:rFonts w:hint="eastAsia" w:ascii="宋体" w:hAnsi="宋体" w:eastAsia="宋体" w:cs="宋体"/>
          <w:sz w:val="24"/>
          <w:szCs w:val="24"/>
          <w:highlight w:val="none"/>
          <w:lang w:val="zh-CN"/>
        </w:rPr>
        <w:t>四、交货条件:</w:t>
      </w:r>
      <w:bookmarkEnd w:id="6"/>
      <w:bookmarkEnd w:id="7"/>
    </w:p>
    <w:p w14:paraId="64AAD5AD">
      <w:pPr>
        <w:pageBreakBefore w:val="0"/>
        <w:tabs>
          <w:tab w:val="left" w:pos="735"/>
        </w:tabs>
        <w:kinsoku/>
        <w:wordWrap/>
        <w:overflowPunct/>
        <w:topLinePunct w:val="0"/>
        <w:autoSpaceDE w:val="0"/>
        <w:autoSpaceDN w:val="0"/>
        <w:bidi w:val="0"/>
        <w:adjustRightInd w:val="0"/>
        <w:snapToGrid w:val="0"/>
        <w:spacing w:line="400" w:lineRule="exact"/>
        <w:ind w:firstLine="631"/>
        <w:rPr>
          <w:rFonts w:hint="eastAsia" w:ascii="宋体" w:hAnsi="宋体" w:cs="宋体"/>
          <w:bCs/>
          <w:sz w:val="24"/>
          <w:szCs w:val="24"/>
          <w:highlight w:val="none"/>
          <w:lang w:val="zh-CN"/>
        </w:rPr>
      </w:pPr>
      <w:r>
        <w:rPr>
          <w:rFonts w:hint="eastAsia" w:ascii="宋体" w:hAnsi="宋体" w:cs="宋体"/>
          <w:bCs/>
          <w:sz w:val="24"/>
          <w:szCs w:val="24"/>
          <w:highlight w:val="none"/>
          <w:lang w:val="zh-CN"/>
        </w:rPr>
        <w:t>1、交货地点：甲方指定地点</w:t>
      </w:r>
    </w:p>
    <w:p w14:paraId="02F07D56">
      <w:pPr>
        <w:pageBreakBefore w:val="0"/>
        <w:kinsoku/>
        <w:wordWrap/>
        <w:overflowPunct/>
        <w:topLinePunct w:val="0"/>
        <w:autoSpaceDE w:val="0"/>
        <w:autoSpaceDN w:val="0"/>
        <w:bidi w:val="0"/>
        <w:adjustRightInd w:val="0"/>
        <w:snapToGrid w:val="0"/>
        <w:spacing w:line="400" w:lineRule="exact"/>
        <w:ind w:firstLine="645"/>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2、交货期：</w:t>
      </w:r>
      <w:r>
        <w:rPr>
          <w:rFonts w:hint="eastAsia" w:ascii="宋体" w:hAnsi="宋体" w:cs="宋体"/>
          <w:color w:val="auto"/>
          <w:sz w:val="24"/>
          <w:szCs w:val="24"/>
          <w:highlight w:val="none"/>
          <w:lang w:val="zh-CN" w:eastAsia="zh-CN"/>
        </w:rPr>
        <w:t>合同签订后</w:t>
      </w:r>
      <w:r>
        <w:rPr>
          <w:rFonts w:hint="eastAsia" w:ascii="宋体" w:hAnsi="宋体" w:cs="宋体"/>
          <w:color w:val="auto"/>
          <w:sz w:val="24"/>
          <w:szCs w:val="24"/>
          <w:highlight w:val="none"/>
          <w:u w:val="single"/>
          <w:lang w:val="en-US" w:eastAsia="zh-CN"/>
        </w:rPr>
        <w:t>30</w:t>
      </w:r>
      <w:r>
        <w:rPr>
          <w:rFonts w:hint="eastAsia" w:ascii="宋体" w:hAnsi="宋体" w:cs="宋体"/>
          <w:color w:val="auto"/>
          <w:sz w:val="24"/>
          <w:szCs w:val="24"/>
          <w:highlight w:val="none"/>
          <w:u w:val="none"/>
          <w:lang w:val="en-US" w:eastAsia="zh-CN"/>
        </w:rPr>
        <w:t>个</w:t>
      </w:r>
      <w:r>
        <w:rPr>
          <w:rFonts w:hint="eastAsia" w:ascii="宋体" w:hAnsi="宋体" w:cs="宋体"/>
          <w:color w:val="auto"/>
          <w:sz w:val="24"/>
          <w:szCs w:val="24"/>
          <w:highlight w:val="none"/>
          <w:lang w:val="en-US" w:eastAsia="zh-CN"/>
        </w:rPr>
        <w:t>日历天供货安装调试完毕。</w:t>
      </w:r>
    </w:p>
    <w:p w14:paraId="534BC1D4">
      <w:pPr>
        <w:pStyle w:val="3"/>
        <w:pageBreakBefore w:val="0"/>
        <w:kinsoku/>
        <w:wordWrap/>
        <w:overflowPunct/>
        <w:topLinePunct w:val="0"/>
        <w:bidi w:val="0"/>
        <w:spacing w:line="400" w:lineRule="exact"/>
        <w:rPr>
          <w:rFonts w:hint="eastAsia" w:ascii="宋体" w:hAnsi="宋体" w:eastAsia="宋体" w:cs="宋体"/>
          <w:b w:val="0"/>
          <w:bCs/>
          <w:kern w:val="2"/>
          <w:sz w:val="24"/>
          <w:szCs w:val="24"/>
          <w:highlight w:val="none"/>
          <w:lang w:val="zh-CN" w:eastAsia="zh-CN" w:bidi="ar-SA"/>
        </w:rPr>
      </w:pPr>
      <w:bookmarkStart w:id="8" w:name="_Toc9437"/>
      <w:bookmarkStart w:id="9" w:name="_Toc1926"/>
      <w:r>
        <w:rPr>
          <w:rFonts w:hint="eastAsia" w:ascii="宋体" w:hAnsi="宋体" w:eastAsia="宋体" w:cs="宋体"/>
          <w:sz w:val="24"/>
          <w:szCs w:val="24"/>
          <w:highlight w:val="none"/>
          <w:lang w:val="zh-CN"/>
        </w:rPr>
        <w:t>五、运输：</w:t>
      </w:r>
      <w:bookmarkEnd w:id="8"/>
      <w:bookmarkEnd w:id="9"/>
    </w:p>
    <w:p w14:paraId="4FC6BC2B">
      <w:pPr>
        <w:pageBreakBefore w:val="0"/>
        <w:kinsoku/>
        <w:wordWrap/>
        <w:overflowPunct/>
        <w:topLinePunct w:val="0"/>
        <w:bidi w:val="0"/>
        <w:adjustRightInd w:val="0"/>
        <w:snapToGrid w:val="0"/>
        <w:spacing w:line="400" w:lineRule="exact"/>
        <w:ind w:firstLine="645"/>
        <w:rPr>
          <w:rFonts w:hint="eastAsia" w:ascii="宋体" w:hAnsi="宋体" w:cs="宋体"/>
          <w:color w:val="000000"/>
          <w:sz w:val="24"/>
          <w:szCs w:val="24"/>
          <w:highlight w:val="none"/>
        </w:rPr>
      </w:pPr>
      <w:r>
        <w:rPr>
          <w:rFonts w:hint="eastAsia" w:ascii="宋体" w:hAnsi="宋体" w:cs="宋体"/>
          <w:color w:val="000000"/>
          <w:sz w:val="24"/>
          <w:szCs w:val="24"/>
          <w:highlight w:val="none"/>
        </w:rPr>
        <w:t>1、乙方负责所有货物的运输。确保货物安全、完整到达使用地点，运杂费用包含在总价内，包括货物从供货地点到使用地点的运输费、保险费、搬运费等。</w:t>
      </w:r>
    </w:p>
    <w:p w14:paraId="6A503DE8">
      <w:pPr>
        <w:pageBreakBefore w:val="0"/>
        <w:kinsoku/>
        <w:wordWrap/>
        <w:overflowPunct/>
        <w:topLinePunct w:val="0"/>
        <w:bidi w:val="0"/>
        <w:adjustRightInd w:val="0"/>
        <w:snapToGrid w:val="0"/>
        <w:spacing w:line="400" w:lineRule="exact"/>
        <w:ind w:firstLine="645"/>
        <w:rPr>
          <w:rFonts w:hint="eastAsia" w:ascii="宋体" w:hAnsi="宋体" w:cs="宋体"/>
          <w:sz w:val="24"/>
          <w:szCs w:val="24"/>
          <w:highlight w:val="none"/>
        </w:rPr>
      </w:pPr>
      <w:r>
        <w:rPr>
          <w:rFonts w:hint="eastAsia" w:ascii="宋体" w:hAnsi="宋体" w:cs="宋体"/>
          <w:color w:val="000000"/>
          <w:sz w:val="24"/>
          <w:szCs w:val="24"/>
          <w:highlight w:val="none"/>
        </w:rPr>
        <w:t>2、所有货物在运输、搬运、安装、拆除、改造的过程中，造成甲方损失的，由乙方为甲方修复或更新。</w:t>
      </w:r>
    </w:p>
    <w:p w14:paraId="3B0322AF">
      <w:pPr>
        <w:pStyle w:val="3"/>
        <w:pageBreakBefore w:val="0"/>
        <w:kinsoku/>
        <w:wordWrap/>
        <w:overflowPunct/>
        <w:topLinePunct w:val="0"/>
        <w:bidi w:val="0"/>
        <w:spacing w:line="400" w:lineRule="exact"/>
        <w:rPr>
          <w:rFonts w:hint="eastAsia" w:ascii="宋体" w:hAnsi="宋体" w:eastAsia="宋体" w:cs="宋体"/>
          <w:sz w:val="24"/>
          <w:szCs w:val="24"/>
          <w:highlight w:val="none"/>
          <w:lang w:val="zh-CN"/>
        </w:rPr>
      </w:pPr>
      <w:bookmarkStart w:id="10" w:name="_Toc7164"/>
      <w:bookmarkStart w:id="11" w:name="_Toc25630"/>
      <w:r>
        <w:rPr>
          <w:rFonts w:hint="eastAsia" w:ascii="宋体" w:hAnsi="宋体" w:eastAsia="宋体" w:cs="宋体"/>
          <w:sz w:val="24"/>
          <w:szCs w:val="24"/>
          <w:highlight w:val="none"/>
          <w:lang w:val="zh-CN"/>
        </w:rPr>
        <w:t>六、质量保证：</w:t>
      </w:r>
      <w:bookmarkEnd w:id="10"/>
      <w:bookmarkEnd w:id="11"/>
    </w:p>
    <w:p w14:paraId="64049837">
      <w:pPr>
        <w:pageBreakBefore w:val="0"/>
        <w:kinsoku/>
        <w:wordWrap/>
        <w:overflowPunct/>
        <w:topLinePunct w:val="0"/>
        <w:bidi w:val="0"/>
        <w:adjustRightInd w:val="0"/>
        <w:snapToGrid w:val="0"/>
        <w:spacing w:line="400" w:lineRule="exact"/>
        <w:ind w:firstLine="645"/>
        <w:rPr>
          <w:rFonts w:hint="eastAsia" w:ascii="宋体" w:hAnsi="宋体" w:cs="宋体"/>
          <w:color w:val="000000"/>
          <w:sz w:val="24"/>
          <w:szCs w:val="24"/>
          <w:highlight w:val="none"/>
        </w:rPr>
      </w:pPr>
      <w:r>
        <w:rPr>
          <w:rFonts w:hint="eastAsia" w:ascii="宋体" w:hAnsi="宋体" w:cs="宋体"/>
          <w:color w:val="000000"/>
          <w:sz w:val="24"/>
          <w:szCs w:val="24"/>
          <w:highlight w:val="none"/>
        </w:rPr>
        <w:t>1、乙方提供货物必须是原品牌制造厂制造的最新工艺、生产的最新产品。</w:t>
      </w:r>
    </w:p>
    <w:p w14:paraId="313092D2">
      <w:pPr>
        <w:pageBreakBefore w:val="0"/>
        <w:kinsoku/>
        <w:wordWrap/>
        <w:overflowPunct/>
        <w:topLinePunct w:val="0"/>
        <w:bidi w:val="0"/>
        <w:adjustRightInd w:val="0"/>
        <w:snapToGrid w:val="0"/>
        <w:spacing w:line="400" w:lineRule="exact"/>
        <w:ind w:firstLine="645"/>
        <w:rPr>
          <w:rFonts w:hint="eastAsia" w:ascii="宋体" w:hAnsi="宋体" w:cs="宋体"/>
          <w:color w:val="000000"/>
          <w:sz w:val="24"/>
          <w:szCs w:val="24"/>
          <w:highlight w:val="none"/>
        </w:rPr>
      </w:pPr>
      <w:r>
        <w:rPr>
          <w:rFonts w:hint="eastAsia" w:ascii="宋体" w:hAnsi="宋体" w:cs="宋体"/>
          <w:color w:val="000000"/>
          <w:sz w:val="24"/>
          <w:szCs w:val="24"/>
          <w:highlight w:val="none"/>
        </w:rPr>
        <w:t>2、所供货物必须是经过办理正常手续的全新产品。</w:t>
      </w:r>
    </w:p>
    <w:p w14:paraId="78692D16">
      <w:pPr>
        <w:pageBreakBefore w:val="0"/>
        <w:kinsoku/>
        <w:wordWrap/>
        <w:overflowPunct/>
        <w:topLinePunct w:val="0"/>
        <w:bidi w:val="0"/>
        <w:adjustRightInd w:val="0"/>
        <w:snapToGrid w:val="0"/>
        <w:spacing w:line="400" w:lineRule="exact"/>
        <w:ind w:firstLine="645"/>
        <w:rPr>
          <w:rFonts w:hint="eastAsia" w:ascii="宋体" w:hAnsi="宋体" w:cs="宋体"/>
          <w:color w:val="000000"/>
          <w:sz w:val="24"/>
          <w:szCs w:val="24"/>
          <w:highlight w:val="none"/>
        </w:rPr>
      </w:pPr>
      <w:r>
        <w:rPr>
          <w:rFonts w:hint="eastAsia" w:ascii="宋体" w:hAnsi="宋体" w:cs="宋体"/>
          <w:color w:val="000000"/>
          <w:sz w:val="24"/>
          <w:szCs w:val="24"/>
          <w:highlight w:val="none"/>
        </w:rPr>
        <w:t>3、所供货物是经过国家法定检验、注册、准许市场销售的合法产品。</w:t>
      </w:r>
    </w:p>
    <w:p w14:paraId="201333F8">
      <w:pPr>
        <w:pageBreakBefore w:val="0"/>
        <w:kinsoku/>
        <w:wordWrap/>
        <w:overflowPunct/>
        <w:topLinePunct w:val="0"/>
        <w:bidi w:val="0"/>
        <w:adjustRightInd w:val="0"/>
        <w:snapToGrid w:val="0"/>
        <w:spacing w:line="400" w:lineRule="exact"/>
        <w:ind w:firstLine="645"/>
        <w:rPr>
          <w:rFonts w:hint="eastAsia" w:ascii="宋体" w:hAnsi="宋体" w:cs="宋体"/>
          <w:color w:val="000000"/>
          <w:sz w:val="24"/>
          <w:szCs w:val="24"/>
          <w:highlight w:val="none"/>
        </w:rPr>
      </w:pPr>
      <w:r>
        <w:rPr>
          <w:rFonts w:hint="eastAsia" w:ascii="宋体" w:hAnsi="宋体" w:cs="宋体"/>
          <w:color w:val="000000"/>
          <w:sz w:val="24"/>
          <w:szCs w:val="24"/>
          <w:highlight w:val="none"/>
        </w:rPr>
        <w:t>4、货物性能稳定、具有较好的使用效果，质量保证措施完善，符合国家相关标准。</w:t>
      </w:r>
    </w:p>
    <w:p w14:paraId="230A33A8">
      <w:pPr>
        <w:pageBreakBefore w:val="0"/>
        <w:kinsoku/>
        <w:wordWrap/>
        <w:overflowPunct/>
        <w:topLinePunct w:val="0"/>
        <w:bidi w:val="0"/>
        <w:adjustRightInd w:val="0"/>
        <w:snapToGrid w:val="0"/>
        <w:spacing w:line="400" w:lineRule="exact"/>
        <w:ind w:firstLine="645"/>
        <w:rPr>
          <w:rFonts w:hint="eastAsia" w:ascii="宋体" w:hAnsi="宋体" w:cs="宋体"/>
          <w:sz w:val="24"/>
          <w:szCs w:val="24"/>
          <w:highlight w:val="none"/>
        </w:rPr>
      </w:pPr>
      <w:r>
        <w:rPr>
          <w:rFonts w:hint="eastAsia" w:ascii="宋体" w:hAnsi="宋体" w:cs="宋体"/>
          <w:sz w:val="24"/>
          <w:szCs w:val="24"/>
          <w:highlight w:val="none"/>
        </w:rPr>
        <w:t>5、</w:t>
      </w:r>
      <w:r>
        <w:rPr>
          <w:rFonts w:hint="eastAsia" w:cs="Times New Roman"/>
          <w:kern w:val="2"/>
          <w:sz w:val="24"/>
          <w:szCs w:val="24"/>
          <w:highlight w:val="none"/>
          <w:lang w:val="zh-CN" w:eastAsia="zh-CN" w:bidi="ar-SA"/>
        </w:rPr>
        <w:t>质保期为验收合格后一年</w:t>
      </w:r>
      <w:r>
        <w:rPr>
          <w:rFonts w:hint="eastAsia" w:ascii="宋体" w:hAnsi="宋体" w:cs="宋体"/>
          <w:sz w:val="24"/>
          <w:szCs w:val="24"/>
          <w:highlight w:val="none"/>
        </w:rPr>
        <w:t>，质保期内维保标准不得低于国家标准及相关规定，如超过</w:t>
      </w:r>
      <w:r>
        <w:rPr>
          <w:rFonts w:hint="eastAsia" w:ascii="宋体" w:hAnsi="宋体" w:cs="宋体"/>
          <w:sz w:val="24"/>
          <w:szCs w:val="24"/>
          <w:highlight w:val="none"/>
          <w:lang w:val="en-US" w:eastAsia="zh-CN"/>
        </w:rPr>
        <w:t>5</w:t>
      </w:r>
      <w:r>
        <w:rPr>
          <w:rFonts w:hint="eastAsia" w:ascii="宋体" w:hAnsi="宋体" w:cs="宋体"/>
          <w:sz w:val="24"/>
          <w:szCs w:val="24"/>
          <w:highlight w:val="none"/>
        </w:rPr>
        <w:t>年，则按供应商承诺执行，并在合同签订过程中明确。</w:t>
      </w:r>
    </w:p>
    <w:p w14:paraId="2F731DB9">
      <w:pPr>
        <w:pageBreakBefore w:val="0"/>
        <w:kinsoku/>
        <w:wordWrap/>
        <w:overflowPunct/>
        <w:topLinePunct w:val="0"/>
        <w:bidi w:val="0"/>
        <w:adjustRightInd w:val="0"/>
        <w:snapToGrid w:val="0"/>
        <w:spacing w:line="400" w:lineRule="exact"/>
        <w:ind w:firstLine="645"/>
        <w:rPr>
          <w:rFonts w:hint="eastAsia" w:ascii="宋体" w:hAnsi="宋体" w:cs="宋体"/>
          <w:sz w:val="24"/>
          <w:szCs w:val="24"/>
          <w:highlight w:val="none"/>
        </w:rPr>
      </w:pPr>
      <w:r>
        <w:rPr>
          <w:rFonts w:hint="eastAsia" w:ascii="宋体" w:hAnsi="宋体" w:cs="宋体"/>
          <w:sz w:val="24"/>
          <w:szCs w:val="24"/>
          <w:highlight w:val="none"/>
        </w:rPr>
        <w:t>6、包装要求</w:t>
      </w:r>
    </w:p>
    <w:p w14:paraId="4F584554">
      <w:pPr>
        <w:pageBreakBefore w:val="0"/>
        <w:kinsoku/>
        <w:wordWrap/>
        <w:overflowPunct/>
        <w:topLinePunct w:val="0"/>
        <w:bidi w:val="0"/>
        <w:adjustRightInd w:val="0"/>
        <w:snapToGrid w:val="0"/>
        <w:spacing w:line="400" w:lineRule="exact"/>
        <w:ind w:firstLine="645"/>
        <w:rPr>
          <w:rFonts w:hint="eastAsia" w:ascii="宋体" w:hAnsi="宋体" w:cs="宋体"/>
          <w:sz w:val="24"/>
          <w:szCs w:val="24"/>
          <w:highlight w:val="none"/>
        </w:rPr>
      </w:pPr>
      <w:r>
        <w:rPr>
          <w:rFonts w:hint="eastAsia" w:ascii="宋体" w:hAnsi="宋体" w:cs="宋体"/>
          <w:color w:val="000000"/>
          <w:sz w:val="24"/>
          <w:szCs w:val="24"/>
          <w:highlight w:val="none"/>
        </w:rPr>
        <w:t>6-1、除合同另有规定外，乙方提供的全部货物，均应按标准保护措施进行包装，并确保货物安全</w:t>
      </w:r>
      <w:r>
        <w:rPr>
          <w:rFonts w:hint="eastAsia" w:ascii="宋体" w:hAnsi="宋体" w:cs="宋体"/>
          <w:sz w:val="24"/>
          <w:szCs w:val="24"/>
          <w:highlight w:val="none"/>
        </w:rPr>
        <w:t>无损运抵甲方指定地点。</w:t>
      </w:r>
    </w:p>
    <w:p w14:paraId="66D87A0C">
      <w:pPr>
        <w:pageBreakBefore w:val="0"/>
        <w:kinsoku/>
        <w:wordWrap/>
        <w:overflowPunct/>
        <w:topLinePunct w:val="0"/>
        <w:bidi w:val="0"/>
        <w:adjustRightInd w:val="0"/>
        <w:snapToGrid w:val="0"/>
        <w:spacing w:line="400" w:lineRule="exact"/>
        <w:ind w:firstLine="645"/>
        <w:rPr>
          <w:rFonts w:hint="eastAsia" w:ascii="宋体" w:hAnsi="宋体" w:cs="宋体"/>
          <w:sz w:val="24"/>
          <w:szCs w:val="24"/>
          <w:highlight w:val="none"/>
        </w:rPr>
      </w:pPr>
      <w:r>
        <w:rPr>
          <w:rFonts w:hint="eastAsia" w:ascii="宋体" w:hAnsi="宋体" w:cs="宋体"/>
          <w:sz w:val="24"/>
          <w:szCs w:val="24"/>
          <w:highlight w:val="none"/>
        </w:rPr>
        <w:t>6-2、每一个包装箱内应附一份详细装箱单和质量合格证。</w:t>
      </w:r>
    </w:p>
    <w:p w14:paraId="7273FF68">
      <w:pPr>
        <w:pageBreakBefore w:val="0"/>
        <w:kinsoku/>
        <w:wordWrap/>
        <w:overflowPunct/>
        <w:topLinePunct w:val="0"/>
        <w:bidi w:val="0"/>
        <w:adjustRightInd w:val="0"/>
        <w:snapToGrid w:val="0"/>
        <w:spacing w:line="400" w:lineRule="exact"/>
        <w:ind w:firstLine="645"/>
        <w:rPr>
          <w:rFonts w:hint="eastAsia" w:ascii="宋体" w:hAnsi="宋体" w:cs="宋体"/>
          <w:sz w:val="24"/>
          <w:szCs w:val="24"/>
          <w:highlight w:val="none"/>
        </w:rPr>
      </w:pPr>
      <w:r>
        <w:rPr>
          <w:rFonts w:hint="eastAsia" w:ascii="宋体" w:hAnsi="宋体" w:cs="宋体"/>
          <w:sz w:val="24"/>
          <w:szCs w:val="24"/>
          <w:highlight w:val="none"/>
        </w:rPr>
        <w:t>7、知识产权：乙方应保证甲方在使用该货物或其任何一部分时免受第三方提出侵犯其专利权、商标权或工业设计权的起诉。</w:t>
      </w:r>
    </w:p>
    <w:p w14:paraId="60857E40">
      <w:pPr>
        <w:pStyle w:val="3"/>
        <w:pageBreakBefore w:val="0"/>
        <w:kinsoku/>
        <w:wordWrap/>
        <w:overflowPunct/>
        <w:topLinePunct w:val="0"/>
        <w:bidi w:val="0"/>
        <w:spacing w:line="400" w:lineRule="exact"/>
        <w:rPr>
          <w:rFonts w:hint="eastAsia" w:ascii="宋体" w:hAnsi="宋体" w:eastAsia="宋体" w:cs="宋体"/>
          <w:sz w:val="24"/>
          <w:szCs w:val="24"/>
          <w:highlight w:val="none"/>
          <w:lang w:val="zh-CN"/>
        </w:rPr>
      </w:pPr>
      <w:bookmarkStart w:id="12" w:name="_Toc26330"/>
      <w:bookmarkStart w:id="13" w:name="_Toc20761"/>
      <w:r>
        <w:rPr>
          <w:rFonts w:hint="eastAsia" w:ascii="宋体" w:hAnsi="宋体" w:eastAsia="宋体" w:cs="宋体"/>
          <w:sz w:val="24"/>
          <w:szCs w:val="24"/>
          <w:highlight w:val="none"/>
          <w:lang w:val="zh-CN"/>
        </w:rPr>
        <w:t>七、技术服务：</w:t>
      </w:r>
      <w:bookmarkEnd w:id="12"/>
      <w:bookmarkEnd w:id="13"/>
    </w:p>
    <w:p w14:paraId="10FFAE47">
      <w:pPr>
        <w:pageBreakBefore w:val="0"/>
        <w:kinsoku/>
        <w:wordWrap/>
        <w:overflowPunct/>
        <w:topLinePunct w:val="0"/>
        <w:bidi w:val="0"/>
        <w:snapToGrid w:val="0"/>
        <w:spacing w:line="400" w:lineRule="exact"/>
        <w:ind w:firstLine="482" w:firstLineChars="201"/>
        <w:rPr>
          <w:rFonts w:hint="eastAsia" w:ascii="宋体" w:hAnsi="宋体" w:cs="宋体"/>
          <w:sz w:val="24"/>
          <w:szCs w:val="24"/>
          <w:highlight w:val="none"/>
        </w:rPr>
      </w:pPr>
      <w:r>
        <w:rPr>
          <w:rFonts w:hint="eastAsia" w:ascii="宋体" w:hAnsi="宋体" w:cs="宋体"/>
          <w:sz w:val="24"/>
          <w:szCs w:val="24"/>
          <w:highlight w:val="none"/>
        </w:rPr>
        <w:t>1、对技术服务的要求：乙方应随同货物提供相应的中文技术文件(包括产品合格证、装箱、清单、操作手册、使用说明。检测报告、维护手册、服务指南等资料)，现场安装、调试、试运行技术保障服务。</w:t>
      </w:r>
    </w:p>
    <w:p w14:paraId="5642D2DC">
      <w:pPr>
        <w:pageBreakBefore w:val="0"/>
        <w:kinsoku/>
        <w:wordWrap/>
        <w:overflowPunct/>
        <w:topLinePunct w:val="0"/>
        <w:bidi w:val="0"/>
        <w:snapToGrid w:val="0"/>
        <w:spacing w:line="4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2、技术资料：</w:t>
      </w:r>
    </w:p>
    <w:p w14:paraId="71EFCC1E">
      <w:pPr>
        <w:pageBreakBefore w:val="0"/>
        <w:kinsoku/>
        <w:wordWrap/>
        <w:overflowPunct/>
        <w:topLinePunct w:val="0"/>
        <w:bidi w:val="0"/>
        <w:snapToGrid w:val="0"/>
        <w:spacing w:line="400" w:lineRule="exact"/>
        <w:ind w:firstLine="480"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2-1、产品合格证及检验报告；</w:t>
      </w:r>
    </w:p>
    <w:p w14:paraId="20A5987B">
      <w:pPr>
        <w:pageBreakBefore w:val="0"/>
        <w:kinsoku/>
        <w:wordWrap/>
        <w:overflowPunct/>
        <w:topLinePunct w:val="0"/>
        <w:bidi w:val="0"/>
        <w:snapToGrid w:val="0"/>
        <w:spacing w:line="400" w:lineRule="exact"/>
        <w:ind w:firstLine="480"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2-2、产品使用说明书（中文）；</w:t>
      </w:r>
    </w:p>
    <w:p w14:paraId="33A9E120">
      <w:pPr>
        <w:pageBreakBefore w:val="0"/>
        <w:kinsoku/>
        <w:wordWrap/>
        <w:overflowPunct/>
        <w:topLinePunct w:val="0"/>
        <w:bidi w:val="0"/>
        <w:snapToGrid w:val="0"/>
        <w:spacing w:line="400" w:lineRule="exact"/>
        <w:ind w:firstLine="480"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2-3、其他技术资料。</w:t>
      </w:r>
    </w:p>
    <w:p w14:paraId="5C9FB7C6">
      <w:pPr>
        <w:pageBreakBefore w:val="0"/>
        <w:kinsoku/>
        <w:wordWrap/>
        <w:overflowPunct/>
        <w:topLinePunct w:val="0"/>
        <w:bidi w:val="0"/>
        <w:snapToGrid w:val="0"/>
        <w:spacing w:line="4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3、售后服务</w:t>
      </w:r>
    </w:p>
    <w:p w14:paraId="227A8F38">
      <w:pPr>
        <w:pageBreakBefore w:val="0"/>
        <w:kinsoku/>
        <w:wordWrap/>
        <w:overflowPunct/>
        <w:topLinePunct w:val="0"/>
        <w:bidi w:val="0"/>
        <w:snapToGrid w:val="0"/>
        <w:spacing w:line="400" w:lineRule="exact"/>
        <w:ind w:firstLine="480" w:firstLineChars="200"/>
        <w:rPr>
          <w:rFonts w:hint="eastAsia" w:ascii="宋体" w:hAnsi="宋体" w:cs="宋体"/>
          <w:color w:val="000000"/>
          <w:sz w:val="24"/>
          <w:szCs w:val="24"/>
          <w:highlight w:val="none"/>
        </w:rPr>
      </w:pPr>
      <w:r>
        <w:rPr>
          <w:rFonts w:hint="eastAsia" w:ascii="宋体" w:hAnsi="宋体" w:cs="宋体"/>
          <w:sz w:val="24"/>
          <w:szCs w:val="24"/>
          <w:highlight w:val="none"/>
        </w:rPr>
        <w:t>3-1、</w:t>
      </w:r>
      <w:r>
        <w:rPr>
          <w:rFonts w:hint="eastAsia" w:ascii="宋体" w:hAnsi="宋体" w:cs="宋体"/>
          <w:color w:val="000000"/>
          <w:sz w:val="24"/>
          <w:szCs w:val="24"/>
          <w:highlight w:val="none"/>
        </w:rPr>
        <w:t>质保期内维保标准不得低于国家标准及相关规定。</w:t>
      </w:r>
    </w:p>
    <w:p w14:paraId="015F6590">
      <w:pPr>
        <w:pageBreakBefore w:val="0"/>
        <w:kinsoku/>
        <w:wordWrap/>
        <w:overflowPunct/>
        <w:topLinePunct w:val="0"/>
        <w:bidi w:val="0"/>
        <w:snapToGrid w:val="0"/>
        <w:spacing w:line="4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3-2、如果乙方在收到通知后2天内没有弥补缺陷，甲方可采取必要的补救措施，但其风险和费用将由乙方承担，甲方根据合同规定对乙方行使的其它权力不受影响。甲方亦可从合同价款中扣回索赔金额。</w:t>
      </w:r>
    </w:p>
    <w:p w14:paraId="2E964701">
      <w:pPr>
        <w:pageBreakBefore w:val="0"/>
        <w:kinsoku/>
        <w:wordWrap/>
        <w:overflowPunct/>
        <w:topLinePunct w:val="0"/>
        <w:bidi w:val="0"/>
        <w:snapToGrid w:val="0"/>
        <w:spacing w:line="4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4、伴随服务</w:t>
      </w:r>
    </w:p>
    <w:p w14:paraId="39BC020E">
      <w:pPr>
        <w:pageBreakBefore w:val="0"/>
        <w:kinsoku/>
        <w:wordWrap/>
        <w:overflowPunct/>
        <w:topLinePunct w:val="0"/>
        <w:bidi w:val="0"/>
        <w:snapToGrid w:val="0"/>
        <w:spacing w:line="4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4-1、乙方应提供相应的中文的技术文件。</w:t>
      </w:r>
    </w:p>
    <w:p w14:paraId="4E540202">
      <w:pPr>
        <w:pageBreakBefore w:val="0"/>
        <w:kinsoku/>
        <w:wordWrap/>
        <w:overflowPunct/>
        <w:topLinePunct w:val="0"/>
        <w:bidi w:val="0"/>
        <w:snapToGrid w:val="0"/>
        <w:spacing w:line="4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4-2、必须的其它技术资料。</w:t>
      </w:r>
    </w:p>
    <w:p w14:paraId="2F544BC5">
      <w:pPr>
        <w:pageBreakBefore w:val="0"/>
        <w:kinsoku/>
        <w:wordWrap/>
        <w:overflowPunct/>
        <w:topLinePunct w:val="0"/>
        <w:bidi w:val="0"/>
        <w:snapToGrid w:val="0"/>
        <w:spacing w:line="4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4-3、伴随服务的费用已含在合同价中，不单独进行支付。</w:t>
      </w:r>
    </w:p>
    <w:p w14:paraId="6FE54C8A">
      <w:pPr>
        <w:pStyle w:val="3"/>
        <w:pageBreakBefore w:val="0"/>
        <w:kinsoku/>
        <w:wordWrap/>
        <w:overflowPunct/>
        <w:topLinePunct w:val="0"/>
        <w:bidi w:val="0"/>
        <w:spacing w:line="400" w:lineRule="exact"/>
        <w:rPr>
          <w:rFonts w:hint="eastAsia" w:ascii="宋体" w:hAnsi="宋体" w:eastAsia="宋体" w:cs="宋体"/>
          <w:sz w:val="24"/>
          <w:szCs w:val="24"/>
          <w:highlight w:val="none"/>
          <w:lang w:val="zh-CN"/>
        </w:rPr>
      </w:pPr>
      <w:bookmarkStart w:id="14" w:name="_Toc28234"/>
      <w:bookmarkStart w:id="15" w:name="_Toc13698"/>
      <w:r>
        <w:rPr>
          <w:rFonts w:hint="eastAsia" w:ascii="宋体" w:hAnsi="宋体" w:eastAsia="宋体" w:cs="宋体"/>
          <w:sz w:val="24"/>
          <w:szCs w:val="24"/>
          <w:highlight w:val="none"/>
          <w:lang w:val="zh-CN"/>
        </w:rPr>
        <w:t>八、验收：</w:t>
      </w:r>
      <w:bookmarkEnd w:id="14"/>
      <w:bookmarkEnd w:id="15"/>
    </w:p>
    <w:p w14:paraId="6CD122D8">
      <w:pPr>
        <w:pageBreakBefore w:val="0"/>
        <w:kinsoku/>
        <w:wordWrap/>
        <w:overflowPunct/>
        <w:topLinePunct w:val="0"/>
        <w:bidi w:val="0"/>
        <w:spacing w:line="400" w:lineRule="exact"/>
        <w:ind w:firstLine="480"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 xml:space="preserve">  1、通过检验的货物方可进行安装、调试、达到使用条件时由采购单位负责组织验收，或者邀请有关专家、质检机构、采购代理机构共同进行验收；验收合格须交接项目实施的全部资料，并填写政府采购项目验收报告单。验收须以合同、</w:t>
      </w:r>
      <w:r>
        <w:rPr>
          <w:rFonts w:hint="eastAsia" w:ascii="宋体" w:hAnsi="宋体" w:cs="宋体"/>
          <w:color w:val="000000"/>
          <w:sz w:val="24"/>
          <w:szCs w:val="24"/>
          <w:highlight w:val="none"/>
          <w:lang w:eastAsia="zh-CN"/>
        </w:rPr>
        <w:t>招标</w:t>
      </w:r>
      <w:r>
        <w:rPr>
          <w:rFonts w:hint="eastAsia" w:ascii="宋体" w:hAnsi="宋体" w:cs="宋体"/>
          <w:color w:val="000000"/>
          <w:sz w:val="24"/>
          <w:szCs w:val="24"/>
          <w:highlight w:val="none"/>
        </w:rPr>
        <w:t>文件及</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文件、澄清、及国家相应的标准、规范等为依据。</w:t>
      </w:r>
    </w:p>
    <w:p w14:paraId="348E049F">
      <w:pPr>
        <w:pageBreakBefore w:val="0"/>
        <w:kinsoku/>
        <w:wordWrap/>
        <w:overflowPunct/>
        <w:topLinePunct w:val="0"/>
        <w:bidi w:val="0"/>
        <w:adjustRightInd w:val="0"/>
        <w:snapToGrid w:val="0"/>
        <w:spacing w:line="400" w:lineRule="exact"/>
        <w:ind w:firstLine="645"/>
        <w:rPr>
          <w:rFonts w:hint="eastAsia" w:ascii="宋体" w:hAnsi="宋体" w:cs="宋体"/>
          <w:sz w:val="24"/>
          <w:szCs w:val="24"/>
          <w:highlight w:val="none"/>
        </w:rPr>
      </w:pPr>
      <w:r>
        <w:rPr>
          <w:rFonts w:hint="eastAsia" w:ascii="宋体" w:hAnsi="宋体" w:cs="宋体"/>
          <w:color w:val="000000"/>
          <w:sz w:val="24"/>
          <w:szCs w:val="24"/>
          <w:highlight w:val="none"/>
        </w:rPr>
        <w:t>3、质保期满后：由乙方出具质保期运行质量报告，若存在质量问题，应按相应规定协商处理。</w:t>
      </w:r>
    </w:p>
    <w:p w14:paraId="5CFFEA63">
      <w:pPr>
        <w:pageBreakBefore w:val="0"/>
        <w:kinsoku/>
        <w:wordWrap/>
        <w:overflowPunct/>
        <w:topLinePunct w:val="0"/>
        <w:bidi w:val="0"/>
        <w:adjustRightInd w:val="0"/>
        <w:snapToGrid w:val="0"/>
        <w:spacing w:line="400" w:lineRule="exact"/>
        <w:ind w:firstLine="645"/>
        <w:rPr>
          <w:rFonts w:hint="eastAsia" w:ascii="宋体" w:hAnsi="宋体" w:cs="宋体"/>
          <w:sz w:val="24"/>
          <w:szCs w:val="24"/>
          <w:highlight w:val="none"/>
        </w:rPr>
      </w:pPr>
      <w:r>
        <w:rPr>
          <w:rFonts w:hint="eastAsia" w:ascii="宋体" w:hAnsi="宋体" w:cs="宋体"/>
          <w:sz w:val="24"/>
          <w:szCs w:val="24"/>
          <w:highlight w:val="none"/>
        </w:rPr>
        <w:t>4、验收依据：</w:t>
      </w:r>
    </w:p>
    <w:p w14:paraId="53B69BBC">
      <w:pPr>
        <w:pageBreakBefore w:val="0"/>
        <w:kinsoku/>
        <w:wordWrap/>
        <w:overflowPunct/>
        <w:topLinePunct w:val="0"/>
        <w:bidi w:val="0"/>
        <w:adjustRightInd w:val="0"/>
        <w:snapToGrid w:val="0"/>
        <w:spacing w:line="4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4-1、合同文本、合同附件、</w:t>
      </w:r>
      <w:r>
        <w:rPr>
          <w:rFonts w:hint="eastAsia" w:ascii="宋体" w:hAnsi="宋体" w:cs="宋体"/>
          <w:sz w:val="24"/>
          <w:szCs w:val="24"/>
          <w:highlight w:val="none"/>
          <w:lang w:eastAsia="zh-CN"/>
        </w:rPr>
        <w:t>招标</w:t>
      </w:r>
      <w:r>
        <w:rPr>
          <w:rFonts w:hint="eastAsia" w:ascii="宋体" w:hAnsi="宋体" w:cs="宋体"/>
          <w:sz w:val="24"/>
          <w:szCs w:val="24"/>
          <w:highlight w:val="none"/>
        </w:rPr>
        <w:t>文件、</w:t>
      </w:r>
      <w:r>
        <w:rPr>
          <w:rFonts w:hint="eastAsia" w:ascii="宋体" w:hAnsi="宋体" w:cs="宋体"/>
          <w:sz w:val="24"/>
          <w:szCs w:val="24"/>
          <w:highlight w:val="none"/>
          <w:lang w:eastAsia="zh-CN"/>
        </w:rPr>
        <w:t>投标</w:t>
      </w:r>
      <w:r>
        <w:rPr>
          <w:rFonts w:hint="eastAsia" w:ascii="宋体" w:hAnsi="宋体" w:cs="宋体"/>
          <w:sz w:val="24"/>
          <w:szCs w:val="24"/>
          <w:highlight w:val="none"/>
        </w:rPr>
        <w:t>文件。</w:t>
      </w:r>
    </w:p>
    <w:p w14:paraId="724150F1">
      <w:pPr>
        <w:pageBreakBefore w:val="0"/>
        <w:kinsoku/>
        <w:wordWrap/>
        <w:overflowPunct/>
        <w:topLinePunct w:val="0"/>
        <w:bidi w:val="0"/>
        <w:snapToGrid w:val="0"/>
        <w:spacing w:line="400" w:lineRule="exact"/>
        <w:ind w:right="893" w:firstLine="480" w:firstLineChars="200"/>
        <w:rPr>
          <w:rFonts w:hint="eastAsia" w:ascii="宋体" w:hAnsi="宋体" w:cs="宋体"/>
          <w:sz w:val="24"/>
          <w:szCs w:val="24"/>
          <w:highlight w:val="none"/>
        </w:rPr>
      </w:pPr>
      <w:r>
        <w:rPr>
          <w:rFonts w:hint="eastAsia" w:ascii="宋体" w:hAnsi="宋体" w:cs="宋体"/>
          <w:sz w:val="24"/>
          <w:szCs w:val="24"/>
          <w:highlight w:val="none"/>
        </w:rPr>
        <w:t>4-2、国内相应的标准、规范。</w:t>
      </w:r>
    </w:p>
    <w:p w14:paraId="67665045">
      <w:pPr>
        <w:pStyle w:val="3"/>
        <w:pageBreakBefore w:val="0"/>
        <w:kinsoku/>
        <w:wordWrap/>
        <w:overflowPunct/>
        <w:topLinePunct w:val="0"/>
        <w:bidi w:val="0"/>
        <w:spacing w:line="400" w:lineRule="exact"/>
        <w:rPr>
          <w:rFonts w:hint="eastAsia" w:ascii="宋体" w:hAnsi="宋体" w:eastAsia="宋体" w:cs="宋体"/>
          <w:sz w:val="24"/>
          <w:szCs w:val="24"/>
          <w:highlight w:val="none"/>
          <w:lang w:val="zh-CN"/>
        </w:rPr>
      </w:pPr>
      <w:bookmarkStart w:id="16" w:name="_Toc23939"/>
      <w:bookmarkStart w:id="17" w:name="_Toc17276"/>
      <w:r>
        <w:rPr>
          <w:rFonts w:hint="eastAsia" w:ascii="宋体" w:hAnsi="宋体" w:eastAsia="宋体" w:cs="宋体"/>
          <w:sz w:val="24"/>
          <w:szCs w:val="24"/>
          <w:highlight w:val="none"/>
          <w:lang w:val="zh-CN"/>
        </w:rPr>
        <w:t>九、违约责任：</w:t>
      </w:r>
      <w:bookmarkEnd w:id="16"/>
      <w:bookmarkEnd w:id="17"/>
    </w:p>
    <w:p w14:paraId="0FFBC75A">
      <w:pPr>
        <w:pageBreakBefore w:val="0"/>
        <w:kinsoku/>
        <w:wordWrap/>
        <w:overflowPunct/>
        <w:topLinePunct w:val="0"/>
        <w:bidi w:val="0"/>
        <w:adjustRightInd w:val="0"/>
        <w:snapToGrid w:val="0"/>
        <w:spacing w:line="4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1、按《</w:t>
      </w:r>
      <w:r>
        <w:rPr>
          <w:rFonts w:hint="eastAsia" w:ascii="宋体" w:hAnsi="宋体" w:cs="宋体"/>
          <w:sz w:val="24"/>
          <w:highlight w:val="none"/>
          <w:lang w:val="en-US" w:eastAsia="zh-CN"/>
        </w:rPr>
        <w:t>中华人民共和国民法典</w:t>
      </w:r>
      <w:r>
        <w:rPr>
          <w:rFonts w:hint="eastAsia" w:ascii="宋体" w:hAnsi="宋体" w:cs="宋体"/>
          <w:sz w:val="24"/>
          <w:szCs w:val="24"/>
          <w:highlight w:val="none"/>
        </w:rPr>
        <w:t>》中的相关条款执行。</w:t>
      </w:r>
    </w:p>
    <w:p w14:paraId="162084D3">
      <w:pPr>
        <w:pageBreakBefore w:val="0"/>
        <w:kinsoku/>
        <w:wordWrap/>
        <w:overflowPunct/>
        <w:topLinePunct w:val="0"/>
        <w:bidi w:val="0"/>
        <w:adjustRightInd w:val="0"/>
        <w:snapToGrid w:val="0"/>
        <w:spacing w:line="400" w:lineRule="exact"/>
        <w:ind w:firstLine="482" w:firstLineChars="201"/>
        <w:rPr>
          <w:rFonts w:hint="eastAsia" w:ascii="宋体" w:hAnsi="宋体" w:cs="宋体"/>
          <w:sz w:val="24"/>
          <w:szCs w:val="24"/>
          <w:highlight w:val="none"/>
        </w:rPr>
      </w:pPr>
      <w:r>
        <w:rPr>
          <w:rFonts w:hint="eastAsia" w:ascii="宋体" w:hAnsi="宋体" w:cs="宋体"/>
          <w:sz w:val="24"/>
          <w:szCs w:val="24"/>
          <w:highlight w:val="none"/>
        </w:rPr>
        <w:t>2、本合同履行期间，如乙方未能按照本合同约定完成相应目标成效要求，甲方有权视乙方违约情况决定是否单方解除本合同，并要求乙方赔偿甲方损失。</w:t>
      </w:r>
    </w:p>
    <w:p w14:paraId="5C73737C">
      <w:pPr>
        <w:pageBreakBefore w:val="0"/>
        <w:kinsoku/>
        <w:wordWrap/>
        <w:overflowPunct/>
        <w:topLinePunct w:val="0"/>
        <w:bidi w:val="0"/>
        <w:adjustRightInd w:val="0"/>
        <w:snapToGrid w:val="0"/>
        <w:spacing w:line="400" w:lineRule="exact"/>
        <w:ind w:firstLine="482" w:firstLineChars="201"/>
        <w:rPr>
          <w:rFonts w:hint="eastAsia" w:ascii="宋体" w:hAnsi="宋体" w:cs="宋体"/>
          <w:sz w:val="24"/>
          <w:szCs w:val="24"/>
          <w:highlight w:val="none"/>
        </w:rPr>
      </w:pPr>
      <w:r>
        <w:rPr>
          <w:rFonts w:hint="eastAsia" w:ascii="宋体" w:hAnsi="宋体" w:cs="宋体"/>
          <w:sz w:val="24"/>
          <w:szCs w:val="24"/>
          <w:highlight w:val="none"/>
        </w:rPr>
        <w:t>3、除本合同另有约定或因不可抗力情形之外，任何一方因违反本合同项下的任何义务或保证与承诺不实的，即构成违约，应向对方承担违约责任，赔偿因违反合同而给对方造成的全部实际产生的直接经济损失。</w:t>
      </w:r>
    </w:p>
    <w:p w14:paraId="5E05E698">
      <w:pPr>
        <w:pageBreakBefore w:val="0"/>
        <w:kinsoku/>
        <w:wordWrap/>
        <w:overflowPunct/>
        <w:topLinePunct w:val="0"/>
        <w:bidi w:val="0"/>
        <w:adjustRightInd w:val="0"/>
        <w:snapToGrid w:val="0"/>
        <w:spacing w:line="400" w:lineRule="exact"/>
        <w:ind w:firstLine="645"/>
        <w:rPr>
          <w:rFonts w:hint="eastAsia" w:ascii="宋体" w:hAnsi="宋体" w:cs="宋体"/>
          <w:sz w:val="24"/>
          <w:szCs w:val="24"/>
          <w:highlight w:val="none"/>
        </w:rPr>
      </w:pPr>
      <w:r>
        <w:rPr>
          <w:rFonts w:hint="eastAsia" w:ascii="宋体" w:hAnsi="宋体" w:cs="宋体"/>
          <w:sz w:val="24"/>
          <w:szCs w:val="24"/>
          <w:highlight w:val="none"/>
        </w:rPr>
        <w:t>4、违约终止合同：未按合同要求提供货物或质量不能满足技术要求，甲方会同监督机构有权终止合同，对乙方违约行为进行追究，同时按政府采购法的有关规定进行相应的处罚。</w:t>
      </w:r>
    </w:p>
    <w:p w14:paraId="6F394D75">
      <w:pPr>
        <w:pStyle w:val="3"/>
        <w:pageBreakBefore w:val="0"/>
        <w:kinsoku/>
        <w:wordWrap/>
        <w:overflowPunct/>
        <w:topLinePunct w:val="0"/>
        <w:bidi w:val="0"/>
        <w:spacing w:line="400" w:lineRule="exact"/>
        <w:rPr>
          <w:rFonts w:hint="eastAsia" w:ascii="宋体" w:hAnsi="宋体" w:eastAsia="宋体" w:cs="宋体"/>
          <w:sz w:val="24"/>
          <w:szCs w:val="24"/>
          <w:highlight w:val="none"/>
          <w:lang w:val="zh-CN"/>
        </w:rPr>
      </w:pPr>
      <w:bookmarkStart w:id="18" w:name="_Toc8686"/>
      <w:bookmarkStart w:id="19" w:name="_Toc21667"/>
      <w:r>
        <w:rPr>
          <w:rFonts w:hint="eastAsia" w:ascii="宋体" w:hAnsi="宋体" w:eastAsia="宋体" w:cs="宋体"/>
          <w:sz w:val="24"/>
          <w:szCs w:val="24"/>
          <w:highlight w:val="none"/>
          <w:lang w:val="zh-CN"/>
        </w:rPr>
        <w:t>十、合同组成：</w:t>
      </w:r>
      <w:bookmarkEnd w:id="18"/>
      <w:bookmarkEnd w:id="19"/>
    </w:p>
    <w:p w14:paraId="2A7432FF">
      <w:pPr>
        <w:pageBreakBefore w:val="0"/>
        <w:kinsoku/>
        <w:wordWrap/>
        <w:overflowPunct/>
        <w:topLinePunct w:val="0"/>
        <w:bidi w:val="0"/>
        <w:adjustRightInd w:val="0"/>
        <w:snapToGrid w:val="0"/>
        <w:spacing w:line="400" w:lineRule="exact"/>
        <w:ind w:firstLine="482" w:firstLineChars="201"/>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中标</w:t>
      </w:r>
      <w:r>
        <w:rPr>
          <w:rFonts w:hint="eastAsia" w:ascii="宋体" w:hAnsi="宋体" w:eastAsia="宋体" w:cs="宋体"/>
          <w:sz w:val="24"/>
          <w:szCs w:val="24"/>
          <w:highlight w:val="none"/>
        </w:rPr>
        <w:t>通知书</w:t>
      </w:r>
    </w:p>
    <w:p w14:paraId="5EFD1C37">
      <w:pPr>
        <w:pageBreakBefore w:val="0"/>
        <w:kinsoku/>
        <w:wordWrap/>
        <w:overflowPunct/>
        <w:topLinePunct w:val="0"/>
        <w:bidi w:val="0"/>
        <w:adjustRightInd w:val="0"/>
        <w:snapToGrid w:val="0"/>
        <w:spacing w:line="400" w:lineRule="exact"/>
        <w:ind w:firstLine="482" w:firstLineChars="201"/>
        <w:rPr>
          <w:rFonts w:hint="eastAsia" w:ascii="宋体" w:hAnsi="宋体" w:eastAsia="宋体" w:cs="宋体"/>
          <w:sz w:val="24"/>
          <w:szCs w:val="24"/>
          <w:highlight w:val="none"/>
        </w:rPr>
      </w:pPr>
      <w:r>
        <w:rPr>
          <w:rFonts w:hint="eastAsia" w:ascii="宋体" w:hAnsi="宋体" w:eastAsia="宋体" w:cs="宋体"/>
          <w:sz w:val="24"/>
          <w:szCs w:val="24"/>
          <w:highlight w:val="none"/>
        </w:rPr>
        <w:t>2、合同文件</w:t>
      </w:r>
    </w:p>
    <w:p w14:paraId="379CE08B">
      <w:pPr>
        <w:pageBreakBefore w:val="0"/>
        <w:kinsoku/>
        <w:wordWrap/>
        <w:overflowPunct/>
        <w:topLinePunct w:val="0"/>
        <w:bidi w:val="0"/>
        <w:adjustRightInd w:val="0"/>
        <w:snapToGrid w:val="0"/>
        <w:spacing w:line="400" w:lineRule="exact"/>
        <w:ind w:firstLine="482" w:firstLineChars="201"/>
        <w:rPr>
          <w:rFonts w:hint="eastAsia" w:ascii="宋体" w:hAnsi="宋体" w:eastAsia="宋体" w:cs="宋体"/>
          <w:sz w:val="24"/>
          <w:szCs w:val="24"/>
          <w:highlight w:val="none"/>
        </w:rPr>
      </w:pPr>
      <w:r>
        <w:rPr>
          <w:rFonts w:hint="eastAsia" w:ascii="宋体" w:hAnsi="宋体" w:eastAsia="宋体" w:cs="宋体"/>
          <w:sz w:val="24"/>
          <w:szCs w:val="24"/>
          <w:highlight w:val="none"/>
        </w:rPr>
        <w:t>3、国家相关规范及标准</w:t>
      </w:r>
    </w:p>
    <w:p w14:paraId="337BBC81">
      <w:pPr>
        <w:pageBreakBefore w:val="0"/>
        <w:kinsoku/>
        <w:wordWrap/>
        <w:overflowPunct/>
        <w:topLinePunct w:val="0"/>
        <w:bidi w:val="0"/>
        <w:adjustRightInd w:val="0"/>
        <w:snapToGrid w:val="0"/>
        <w:spacing w:line="400" w:lineRule="exact"/>
        <w:ind w:firstLine="482" w:firstLineChars="201"/>
        <w:rPr>
          <w:rFonts w:hint="eastAsia" w:ascii="宋体" w:hAnsi="宋体" w:eastAsia="宋体" w:cs="宋体"/>
          <w:sz w:val="24"/>
          <w:szCs w:val="24"/>
          <w:highlight w:val="none"/>
        </w:rPr>
      </w:pPr>
      <w:r>
        <w:rPr>
          <w:rFonts w:hint="eastAsia" w:ascii="宋体" w:hAnsi="宋体" w:eastAsia="宋体" w:cs="宋体"/>
          <w:sz w:val="24"/>
          <w:szCs w:val="24"/>
          <w:highlight w:val="none"/>
        </w:rPr>
        <w:t>4、供货设备技术规格及参数表</w:t>
      </w:r>
    </w:p>
    <w:p w14:paraId="62AC1E21">
      <w:pPr>
        <w:pageBreakBefore w:val="0"/>
        <w:kinsoku/>
        <w:wordWrap/>
        <w:overflowPunct/>
        <w:topLinePunct w:val="0"/>
        <w:bidi w:val="0"/>
        <w:adjustRightInd w:val="0"/>
        <w:snapToGrid w:val="0"/>
        <w:spacing w:line="400" w:lineRule="exact"/>
        <w:ind w:firstLine="482" w:firstLineChars="201"/>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文件</w:t>
      </w:r>
    </w:p>
    <w:p w14:paraId="56458869">
      <w:pPr>
        <w:pageBreakBefore w:val="0"/>
        <w:kinsoku/>
        <w:wordWrap/>
        <w:overflowPunct/>
        <w:topLinePunct w:val="0"/>
        <w:bidi w:val="0"/>
        <w:adjustRightInd w:val="0"/>
        <w:snapToGrid w:val="0"/>
        <w:spacing w:line="400" w:lineRule="exact"/>
        <w:ind w:firstLine="482" w:firstLineChars="201"/>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eastAsia="宋体" w:cs="宋体"/>
          <w:sz w:val="24"/>
          <w:szCs w:val="24"/>
          <w:highlight w:val="none"/>
          <w:lang w:eastAsia="zh-CN"/>
        </w:rPr>
        <w:t>投标</w:t>
      </w:r>
      <w:r>
        <w:rPr>
          <w:rFonts w:hint="eastAsia" w:ascii="宋体" w:hAnsi="宋体" w:eastAsia="宋体" w:cs="宋体"/>
          <w:sz w:val="24"/>
          <w:szCs w:val="24"/>
          <w:highlight w:val="none"/>
        </w:rPr>
        <w:t>文件</w:t>
      </w:r>
    </w:p>
    <w:p w14:paraId="73A3DFB6">
      <w:pPr>
        <w:pStyle w:val="3"/>
        <w:pageBreakBefore w:val="0"/>
        <w:kinsoku/>
        <w:wordWrap/>
        <w:overflowPunct/>
        <w:topLinePunct w:val="0"/>
        <w:bidi w:val="0"/>
        <w:spacing w:line="400" w:lineRule="exact"/>
        <w:rPr>
          <w:rFonts w:hint="eastAsia" w:ascii="宋体" w:hAnsi="宋体" w:eastAsia="宋体" w:cs="宋体"/>
          <w:sz w:val="24"/>
          <w:szCs w:val="24"/>
          <w:highlight w:val="none"/>
          <w:lang w:val="zh-CN"/>
        </w:rPr>
      </w:pPr>
      <w:bookmarkStart w:id="20" w:name="_Toc27099"/>
      <w:bookmarkStart w:id="21" w:name="_Toc30300"/>
      <w:r>
        <w:rPr>
          <w:rFonts w:hint="eastAsia" w:ascii="宋体" w:hAnsi="宋体" w:eastAsia="宋体" w:cs="宋体"/>
          <w:sz w:val="24"/>
          <w:szCs w:val="24"/>
          <w:highlight w:val="none"/>
          <w:lang w:val="zh-CN"/>
        </w:rPr>
        <w:t>十一、合同生效及其它：</w:t>
      </w:r>
      <w:bookmarkEnd w:id="20"/>
      <w:bookmarkEnd w:id="21"/>
    </w:p>
    <w:p w14:paraId="5DA514D2">
      <w:pPr>
        <w:pageBreakBefore w:val="0"/>
        <w:widowControl/>
        <w:kinsoku/>
        <w:wordWrap/>
        <w:overflowPunct/>
        <w:topLinePunct w:val="0"/>
        <w:autoSpaceDE w:val="0"/>
        <w:autoSpaceDN w:val="0"/>
        <w:bidi w:val="0"/>
        <w:snapToGrid w:val="0"/>
        <w:spacing w:line="400" w:lineRule="exact"/>
        <w:ind w:right="-110" w:firstLine="480" w:firstLineChars="200"/>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1、合同未尽事宜、由甲、乙双方协商，作为合同补充，与原合同具有同等法律效力。</w:t>
      </w:r>
    </w:p>
    <w:p w14:paraId="0294854F">
      <w:pPr>
        <w:pageBreakBefore w:val="0"/>
        <w:widowControl/>
        <w:tabs>
          <w:tab w:val="left" w:pos="8391"/>
        </w:tabs>
        <w:kinsoku/>
        <w:wordWrap/>
        <w:overflowPunct/>
        <w:topLinePunct w:val="0"/>
        <w:autoSpaceDE w:val="0"/>
        <w:autoSpaceDN w:val="0"/>
        <w:bidi w:val="0"/>
        <w:snapToGrid w:val="0"/>
        <w:spacing w:line="400" w:lineRule="exact"/>
        <w:ind w:right="-69" w:firstLine="480" w:firstLineChars="200"/>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2、本合同正本一式</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份，甲方、乙方双方分别执</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份。</w:t>
      </w:r>
    </w:p>
    <w:p w14:paraId="06206235">
      <w:pPr>
        <w:pageBreakBefore w:val="0"/>
        <w:widowControl/>
        <w:tabs>
          <w:tab w:val="left" w:pos="8391"/>
        </w:tabs>
        <w:kinsoku/>
        <w:wordWrap/>
        <w:overflowPunct/>
        <w:topLinePunct w:val="0"/>
        <w:autoSpaceDE w:val="0"/>
        <w:autoSpaceDN w:val="0"/>
        <w:bidi w:val="0"/>
        <w:snapToGrid w:val="0"/>
        <w:spacing w:line="400" w:lineRule="exact"/>
        <w:ind w:right="-69" w:firstLine="480" w:firstLineChars="200"/>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3、合同经甲乙双方盖章、签字后生效，合同签订地点为</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w:t>
      </w:r>
    </w:p>
    <w:p w14:paraId="30D8CAD9">
      <w:pPr>
        <w:pageBreakBefore w:val="0"/>
        <w:widowControl/>
        <w:tabs>
          <w:tab w:val="left" w:pos="8391"/>
        </w:tabs>
        <w:kinsoku/>
        <w:wordWrap/>
        <w:overflowPunct/>
        <w:topLinePunct w:val="0"/>
        <w:autoSpaceDE w:val="0"/>
        <w:autoSpaceDN w:val="0"/>
        <w:bidi w:val="0"/>
        <w:snapToGrid w:val="0"/>
        <w:spacing w:line="400" w:lineRule="exact"/>
        <w:ind w:right="-69" w:firstLine="480" w:firstLineChars="200"/>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4、生效时间：    年  月  日</w:t>
      </w:r>
    </w:p>
    <w:p w14:paraId="7B84C192">
      <w:pPr>
        <w:widowControl/>
        <w:tabs>
          <w:tab w:val="left" w:pos="8391"/>
        </w:tabs>
        <w:autoSpaceDE w:val="0"/>
        <w:autoSpaceDN w:val="0"/>
        <w:snapToGrid w:val="0"/>
        <w:spacing w:line="360" w:lineRule="auto"/>
        <w:ind w:right="-69" w:firstLine="1120" w:firstLineChars="350"/>
        <w:textAlignment w:val="bottom"/>
        <w:rPr>
          <w:rFonts w:hint="eastAsia" w:ascii="宋体" w:hAnsi="宋体" w:cs="宋体"/>
          <w:kern w:val="0"/>
          <w:sz w:val="32"/>
          <w:szCs w:val="32"/>
          <w:highlight w:val="none"/>
        </w:rPr>
      </w:pPr>
    </w:p>
    <w:tbl>
      <w:tblPr>
        <w:tblStyle w:val="6"/>
        <w:tblW w:w="9286" w:type="dxa"/>
        <w:jc w:val="center"/>
        <w:tblLayout w:type="fixed"/>
        <w:tblCellMar>
          <w:top w:w="0" w:type="dxa"/>
          <w:left w:w="108" w:type="dxa"/>
          <w:bottom w:w="0" w:type="dxa"/>
          <w:right w:w="108" w:type="dxa"/>
        </w:tblCellMar>
      </w:tblPr>
      <w:tblGrid>
        <w:gridCol w:w="4643"/>
        <w:gridCol w:w="4643"/>
      </w:tblGrid>
      <w:tr w14:paraId="0DD13D45">
        <w:tblPrEx>
          <w:tblCellMar>
            <w:top w:w="0" w:type="dxa"/>
            <w:left w:w="108" w:type="dxa"/>
            <w:bottom w:w="0" w:type="dxa"/>
            <w:right w:w="108" w:type="dxa"/>
          </w:tblCellMar>
        </w:tblPrEx>
        <w:trPr>
          <w:jc w:val="center"/>
        </w:trPr>
        <w:tc>
          <w:tcPr>
            <w:tcW w:w="4643" w:type="dxa"/>
            <w:vAlign w:val="top"/>
          </w:tcPr>
          <w:p w14:paraId="2ED032C7">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甲方名称</w:t>
            </w:r>
            <w:r>
              <w:rPr>
                <w:rFonts w:hint="eastAsia" w:ascii="宋体" w:hAnsi="宋体" w:cs="宋体"/>
                <w:spacing w:val="-20"/>
                <w:kern w:val="0"/>
                <w:sz w:val="24"/>
                <w:szCs w:val="24"/>
                <w:highlight w:val="none"/>
              </w:rPr>
              <w:t>（盖章）</w:t>
            </w:r>
            <w:r>
              <w:rPr>
                <w:rFonts w:hint="eastAsia" w:ascii="宋体" w:hAnsi="宋体" w:cs="宋体"/>
                <w:kern w:val="0"/>
                <w:sz w:val="24"/>
                <w:szCs w:val="24"/>
                <w:highlight w:val="none"/>
              </w:rPr>
              <w:t>:</w:t>
            </w:r>
          </w:p>
          <w:p w14:paraId="41031692">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地址：</w:t>
            </w:r>
          </w:p>
          <w:p w14:paraId="7E99335C">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代表人（签字）：</w:t>
            </w:r>
          </w:p>
          <w:p w14:paraId="1AFD54B0">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电话：</w:t>
            </w:r>
          </w:p>
          <w:p w14:paraId="3E1726C9">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开户银行：</w:t>
            </w:r>
          </w:p>
          <w:p w14:paraId="3CDBAD8E">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帐号：</w:t>
            </w:r>
          </w:p>
        </w:tc>
        <w:tc>
          <w:tcPr>
            <w:tcW w:w="4643" w:type="dxa"/>
            <w:vAlign w:val="top"/>
          </w:tcPr>
          <w:p w14:paraId="44239086">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乙方名称</w:t>
            </w:r>
            <w:r>
              <w:rPr>
                <w:rFonts w:hint="eastAsia" w:ascii="宋体" w:hAnsi="宋体" w:cs="宋体"/>
                <w:spacing w:val="-20"/>
                <w:kern w:val="0"/>
                <w:sz w:val="24"/>
                <w:szCs w:val="24"/>
                <w:highlight w:val="none"/>
              </w:rPr>
              <w:t>（盖章）</w:t>
            </w:r>
            <w:r>
              <w:rPr>
                <w:rFonts w:hint="eastAsia" w:ascii="宋体" w:hAnsi="宋体" w:cs="宋体"/>
                <w:kern w:val="0"/>
                <w:sz w:val="24"/>
                <w:szCs w:val="24"/>
                <w:highlight w:val="none"/>
              </w:rPr>
              <w:t>:</w:t>
            </w:r>
          </w:p>
          <w:p w14:paraId="4B7681C2">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地址：</w:t>
            </w:r>
          </w:p>
          <w:p w14:paraId="5E01359B">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代表人（签字）：</w:t>
            </w:r>
          </w:p>
          <w:p w14:paraId="4BD05024">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电话：</w:t>
            </w:r>
          </w:p>
          <w:p w14:paraId="592FDCA6">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开户银行：</w:t>
            </w:r>
          </w:p>
          <w:p w14:paraId="6129EABB">
            <w:pPr>
              <w:widowControl/>
              <w:autoSpaceDE w:val="0"/>
              <w:autoSpaceDN w:val="0"/>
              <w:snapToGrid w:val="0"/>
              <w:spacing w:line="360" w:lineRule="auto"/>
              <w:ind w:right="-154"/>
              <w:textAlignment w:val="bottom"/>
              <w:rPr>
                <w:rFonts w:hint="eastAsia" w:ascii="宋体" w:hAnsi="宋体" w:cs="宋体"/>
                <w:kern w:val="0"/>
                <w:sz w:val="24"/>
                <w:szCs w:val="24"/>
                <w:highlight w:val="none"/>
              </w:rPr>
            </w:pPr>
            <w:r>
              <w:rPr>
                <w:rFonts w:hint="eastAsia" w:ascii="宋体" w:hAnsi="宋体" w:cs="宋体"/>
                <w:kern w:val="0"/>
                <w:sz w:val="24"/>
                <w:szCs w:val="24"/>
                <w:highlight w:val="none"/>
              </w:rPr>
              <w:t>帐号：</w:t>
            </w:r>
          </w:p>
        </w:tc>
      </w:tr>
    </w:tbl>
    <w:p w14:paraId="44D2592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WI1MmU1ZTY2MzllZWI1YjQ4OWUwN2YzZDU3ZTIifQ=="/>
  </w:docVars>
  <w:rsids>
    <w:rsidRoot w:val="681A47E8"/>
    <w:rsid w:val="169A0191"/>
    <w:rsid w:val="1C9C5B70"/>
    <w:rsid w:val="681A4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9"/>
    <w:pPr>
      <w:ind w:left="1260" w:leftChars="6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2103</Words>
  <Characters>2132</Characters>
  <Lines>0</Lines>
  <Paragraphs>0</Paragraphs>
  <TotalTime>1</TotalTime>
  <ScaleCrop>false</ScaleCrop>
  <LinksUpToDate>false</LinksUpToDate>
  <CharactersWithSpaces>2177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2024-11-08T03:18:00Z</dcterms:created>
  <dc:creator>五辰</dc:creator>
  <cp:lastModifiedBy>tracy</cp:lastModifiedBy>
  <dcterms:modified xsi:type="dcterms:W3CDTF">2025-11-10T09:03:23Z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1D7298661B17413181EADFAA00703329_11</vt:lpwstr>
  </property>
  <property fmtid="{D5CDD505-2E9C-101B-9397-08002B2CF9AE}" pid="4" name="KSOTemplateDocerSaveRecord">
    <vt:lpwstr>eyJoZGlkIjoiNTEzMTYyZDc4YzZiNjUyNGQ1YzNmN2RhZmY3ZWYwZGUiLCJ1c2VySWQiOiIyNTEwOTExODgifQ==</vt:lpwstr>
  </property>
</Properties>
</file>