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版本号：HYJSZC202508620251226001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周至县2025年基层农技推广体系改革与建设项目物化投入物资采购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HYJSZC2025086</w:t>
      </w:r>
      <w:r>
        <w:br/>
      </w:r>
      <w:r>
        <w:br/>
      </w:r>
      <w:r>
        <w:br/>
      </w:r>
    </w:p>
    <w:p>
      <w:pPr>
        <w:pStyle w:val="null3"/>
        <w:jc w:val="center"/>
        <w:outlineLvl w:val="2"/>
      </w:pPr>
      <w:r>
        <w:rPr>
          <w:rFonts w:ascii="仿宋_GB2312" w:hAnsi="仿宋_GB2312" w:cs="仿宋_GB2312" w:eastAsia="仿宋_GB2312"/>
          <w:sz w:val="28"/>
          <w:b/>
        </w:rPr>
        <w:t>西安市周至县农业技术推广中心</w:t>
      </w:r>
    </w:p>
    <w:p>
      <w:pPr>
        <w:pStyle w:val="null3"/>
        <w:jc w:val="center"/>
        <w:outlineLvl w:val="2"/>
      </w:pPr>
      <w:r>
        <w:rPr>
          <w:rFonts w:ascii="仿宋_GB2312" w:hAnsi="仿宋_GB2312" w:cs="仿宋_GB2312" w:eastAsia="仿宋_GB2312"/>
          <w:sz w:val="28"/>
          <w:b/>
        </w:rPr>
        <w:t>陕西华远建设项目管理有限公司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陕西华远建设项目管理有限公司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西安市周至县农业技术推广中心</w:t>
      </w:r>
      <w:r>
        <w:rPr>
          <w:rFonts w:ascii="仿宋_GB2312" w:hAnsi="仿宋_GB2312" w:cs="仿宋_GB2312" w:eastAsia="仿宋_GB2312"/>
        </w:rPr>
        <w:t>委托，拟对</w:t>
      </w:r>
      <w:r>
        <w:rPr>
          <w:rFonts w:ascii="仿宋_GB2312" w:hAnsi="仿宋_GB2312" w:cs="仿宋_GB2312" w:eastAsia="仿宋_GB2312"/>
        </w:rPr>
        <w:t>周至县2025年基层农技推广体系改革与建设项目物化投入物资采购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HYJSZC2025086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周至县2025年基层农技推广体系改革与建设项目物化投入物资采购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规范对农业科技示范基地的管理，明确其年度技术示范和服务任务，健全管理评价制度，统一树立规范标识。向每个农业科技示范基地提供相应物化补助，用于相关材料、农资等技术物化投入品的购置。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采购包1（周至县2025年基层农技推广体系改革与建设项目物化投入物资采购）：属于专门面向中小企业采购。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1、法人身份证明或被授权人身份证明：提供法定代表人授权书（附法定代表人、被授权人身份证复印件），法定代表人直接参加投标，须提供法定代表人身份证明；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2、信用中国：投标人不得为“信用中国”网站（www.creditchina.gov.cn）（中国执行信息公开网）中被列入失信被执行人、重大税收违法失信主体和中国政府采购网（www.ccgp.gov.cn）政府采购严重违法失信行为记录名单的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周至县二曲街办农商西街10号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87113705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陕西华远建设项目管理有限公司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陕西省西安市曲江新区雁翔路3269号旺座曲江K座501室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13201702738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采购包1：766,260.00元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中规定的标准计取。由成交人（或中标人）在领取成交（或中标）通知书前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西安市周至县农业技术推广中心</w:t>
      </w:r>
      <w:r>
        <w:rPr>
          <w:rFonts w:ascii="仿宋_GB2312" w:hAnsi="仿宋_GB2312" w:cs="仿宋_GB2312" w:eastAsia="仿宋_GB2312"/>
        </w:rPr>
        <w:t>和</w:t>
      </w:r>
      <w:r>
        <w:rPr>
          <w:rFonts w:ascii="仿宋_GB2312" w:hAnsi="仿宋_GB2312" w:cs="仿宋_GB2312" w:eastAsia="仿宋_GB2312"/>
        </w:rPr>
        <w:t>陕西华远建设项目管理有限公司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陕西华远建设项目管理有限公司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陕西华远建设项目管理有限公司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陕西华远建设项目管理有限公司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陕西华远建设项目管理有限公司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陕西华远建设项目管理有限公司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联系电话：13201702738</w:t>
      </w:r>
    </w:p>
    <w:p>
      <w:pPr>
        <w:pStyle w:val="null3"/>
      </w:pPr>
      <w:r>
        <w:rPr>
          <w:rFonts w:ascii="仿宋_GB2312" w:hAnsi="仿宋_GB2312" w:cs="仿宋_GB2312" w:eastAsia="仿宋_GB2312"/>
        </w:rPr>
        <w:t>地址：陕西省西安市曲江新区雁翔路3269号旺座曲江K座501室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规范对农业科技示范基地的管理，明确其年度技术示范和服务任务，健全管理评价制度，统一树立规范标识。向每个农业科技示范基地提供相应物化补助，用于相关材料、农资等技术物化投入品的购置。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766,260.00</w:t>
      </w:r>
    </w:p>
    <w:p>
      <w:pPr>
        <w:pStyle w:val="null3"/>
      </w:pPr>
      <w:r>
        <w:rPr>
          <w:rFonts w:ascii="仿宋_GB2312" w:hAnsi="仿宋_GB2312" w:cs="仿宋_GB2312" w:eastAsia="仿宋_GB2312"/>
        </w:rPr>
        <w:t>采购包最高限价（元）: 766,260.00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物化投入物资采购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766,260.00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标的名称：物化投入物资采购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3"/>
              <w:gridCol w:w="730"/>
              <w:gridCol w:w="1057"/>
              <w:gridCol w:w="218"/>
              <w:gridCol w:w="362"/>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产品名称</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技术要求</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猕猴桃花粉</w:t>
                  </w:r>
                </w:p>
              </w:tc>
              <w:tc>
                <w:tcPr>
                  <w:tcW w:type="dxa" w:w="10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≥10g/瓶</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复合微生物肥料</w:t>
                  </w:r>
                  <w:r>
                    <w:rPr>
                      <w:rFonts w:ascii="仿宋_GB2312" w:hAnsi="仿宋_GB2312" w:cs="仿宋_GB2312" w:eastAsia="仿宋_GB2312"/>
                      <w:sz w:val="20"/>
                      <w:b/>
                      <w:color w:val="000000"/>
                    </w:rPr>
                    <w:t>【核心产品】</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有效活菌数</w:t>
                  </w:r>
                  <w:r>
                    <w:rPr>
                      <w:rFonts w:ascii="仿宋_GB2312" w:hAnsi="仿宋_GB2312" w:cs="仿宋_GB2312" w:eastAsia="仿宋_GB2312"/>
                      <w:sz w:val="20"/>
                      <w:color w:val="000000"/>
                    </w:rPr>
                    <w:t>≥5.0亿/g，N+P2O5+K2O≥10%，有机质≥20%</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79.6</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平衡型水溶肥</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粉剂</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高钾型水溶肥</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粉剂</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氨基酸水溶肥料</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中量元素型水溶肥料</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微生物菌剂</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有效活菌数</w:t>
                  </w:r>
                  <w:r>
                    <w:rPr>
                      <w:rFonts w:ascii="仿宋_GB2312" w:hAnsi="仿宋_GB2312" w:cs="仿宋_GB2312" w:eastAsia="仿宋_GB2312"/>
                      <w:sz w:val="20"/>
                      <w:color w:val="000000"/>
                    </w:rPr>
                    <w:t>≥5.0亿/g，规格：≥40kg/袋</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生物有机肥</w:t>
                  </w:r>
                  <w:r>
                    <w:rPr>
                      <w:rFonts w:ascii="仿宋_GB2312" w:hAnsi="仿宋_GB2312" w:cs="仿宋_GB2312" w:eastAsia="仿宋_GB2312"/>
                      <w:sz w:val="20"/>
                      <w:b/>
                      <w:color w:val="000000"/>
                    </w:rPr>
                    <w:t>【核心产品】</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有效活菌数</w:t>
                  </w:r>
                  <w:r>
                    <w:rPr>
                      <w:rFonts w:ascii="仿宋_GB2312" w:hAnsi="仿宋_GB2312" w:cs="仿宋_GB2312" w:eastAsia="仿宋_GB2312"/>
                      <w:sz w:val="20"/>
                      <w:color w:val="000000"/>
                    </w:rPr>
                    <w:t>≥0.2亿/g，有机质≥40%</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108.6</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玉米种子</w:t>
                  </w:r>
                </w:p>
              </w:tc>
              <w:tc>
                <w:tcPr>
                  <w:tcW w:type="dxa" w:w="10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金科玉</w:t>
                  </w:r>
                  <w:r>
                    <w:rPr>
                      <w:rFonts w:ascii="仿宋_GB2312" w:hAnsi="仿宋_GB2312" w:cs="仿宋_GB2312" w:eastAsia="仿宋_GB2312"/>
                      <w:sz w:val="20"/>
                      <w:color w:val="000000"/>
                    </w:rPr>
                    <w:t>3306：≥4400粒/袋，联创839：≥4200粒/袋，沃玉3号：≥4200粒/袋</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755</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控释肥</w:t>
                  </w:r>
                </w:p>
              </w:tc>
              <w:tc>
                <w:tcPr>
                  <w:tcW w:type="dxa" w:w="1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高氮（</w:t>
                  </w:r>
                  <w:r>
                    <w:rPr>
                      <w:rFonts w:ascii="仿宋_GB2312" w:hAnsi="仿宋_GB2312" w:cs="仿宋_GB2312" w:eastAsia="仿宋_GB2312"/>
                      <w:sz w:val="20"/>
                      <w:color w:val="000000"/>
                    </w:rPr>
                    <w:t>N）-低磷(P2O5）-低钾（K2O），总养分≥40%</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28.2</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尿素</w:t>
                  </w:r>
                </w:p>
              </w:tc>
              <w:tc>
                <w:tcPr>
                  <w:tcW w:type="dxa" w:w="105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总氮</w:t>
                  </w:r>
                  <w:r>
                    <w:rPr>
                      <w:rFonts w:ascii="仿宋_GB2312" w:hAnsi="仿宋_GB2312" w:cs="仿宋_GB2312" w:eastAsia="仿宋_GB2312"/>
                      <w:sz w:val="20"/>
                      <w:color w:val="000000"/>
                    </w:rPr>
                    <w:t>≥46%</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7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复合肥</w:t>
                  </w:r>
                </w:p>
              </w:tc>
              <w:tc>
                <w:tcPr>
                  <w:tcW w:type="dxa" w:w="1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高氮（</w:t>
                  </w:r>
                  <w:r>
                    <w:rPr>
                      <w:rFonts w:ascii="仿宋_GB2312" w:hAnsi="仿宋_GB2312" w:cs="仿宋_GB2312" w:eastAsia="仿宋_GB2312"/>
                      <w:sz w:val="20"/>
                      <w:color w:val="000000"/>
                    </w:rPr>
                    <w:t>N）-低磷（P2O5）-低钾（K2O），总养分≥40%</w:t>
                  </w:r>
                </w:p>
              </w:tc>
              <w:tc>
                <w:tcPr>
                  <w:tcW w:type="dxa" w:w="2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吨</w:t>
                  </w:r>
                </w:p>
              </w:tc>
              <w:tc>
                <w:tcPr>
                  <w:tcW w:type="dxa" w:w="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合同签订后2026年6月1日前完成供货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交货完毕验收无误且财政资金到位后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1、具有独立承担民事责任能力的法人、其他组织或自然人，营业执照、组织机构代码证、税务登记证（三证合一只提供营业执照，事业单位提供事业单位法人证书，自然人应提供身份证）合法有效；2、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3、提供具有履行合同所必需的设备和专业技术能力的承诺；4、提供投标截止日前近六个月内至少一个月的社会保障资金缴存单据或社保机构开具的社会保险参保缴费情况证明，依法不需要缴纳社会保障资金的供应商应提供相关文件证明；5、提供投标截止日前近六个月内至少一个月的纳税证明或完税证明，依法免税的单位应提供相关证明材料；6、参加政府采购活动前三年内，在经营活动中没有重大违法记录的书面声明；或提供基本资格条件承诺函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经审计资质单位出具赋码的完整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或提供基本资格条件承诺函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法人身份证明或被授权人身份证明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投标人不得为“信用中国”网站（www.creditchina.gov.cn）（中国执行信息公开网）中被列入失信被执行人、重大税收违法失信主体和中国政府采购网（www.ccgp.gov.cn）政府采购严重违法失信行为记录名单的单位；</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报价一览表及分项报价表.docx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报价一览表及分项报价表.docx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报价一览表及分项报价表.docx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投标文件对磋商文件的响应</w:t>
            </w:r>
          </w:p>
        </w:tc>
        <w:tc>
          <w:tcPr>
            <w:tcW w:type="dxa" w:w="3322"/>
          </w:tcPr>
          <w:p>
            <w:pPr>
              <w:pStyle w:val="null3"/>
            </w:pPr>
            <w:r>
              <w:rPr>
                <w:rFonts w:ascii="仿宋_GB2312" w:hAnsi="仿宋_GB2312" w:cs="仿宋_GB2312" w:eastAsia="仿宋_GB2312"/>
              </w:rPr>
              <w:t>未附有采购人不能接受条件的，不存在重大偏离。</w:t>
            </w:r>
          </w:p>
        </w:tc>
        <w:tc>
          <w:tcPr>
            <w:tcW w:type="dxa" w:w="1661"/>
          </w:tcPr>
          <w:p>
            <w:pPr>
              <w:pStyle w:val="null3"/>
            </w:pPr>
            <w:r>
              <w:rPr>
                <w:rFonts w:ascii="仿宋_GB2312" w:hAnsi="仿宋_GB2312" w:cs="仿宋_GB2312" w:eastAsia="仿宋_GB2312"/>
              </w:rPr>
              <w:t>投标方案.docx 中小企业声明函 商务应答表 报价表 资格证明文件.docx 响应文件封面 报价一览表及分项报价表.docx 产品技术参数表 残疾人福利性单位声明函 拒绝政府采购领域商业贿赂承诺书.docx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投标人所投产品完全响应磋商文件要求，满足采购需求、技术参数没有负偏离得30分； 投标产品参数每负偏离一项扣2分，扣完为止； 注：参数须尽可能提供相应证明材料（包括但不限于产品检测报告、产品彩页、官网截图等）。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投标人针对本项目制定的总体实施方案响应情况进行赋分，方案内容包括：①项目整体目标②供货进度计划③运输配送方案④人员配备⑤项目实施过程中安全、环保保障措施；方案各部分内容全面详细、阐述条例清晰详尽、符合本项目采购需求得10分；评审内容每缺一项扣2分；评审内容有缺陷或未完全响应评审标准的，每项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根据投标人针对本项目制定的培训方案响应情况进行赋分，方案内容包含：①培训时间、培训人数、培训人员、培训方式 ②产品的使用说明③产品储存方案； 方案各部分内容全面详细、阐述条理清晰详尽、符合本项目采购需求得9分；评审内容每缺一项扣3分，评审内容有缺陷或未完全响应评审标准的，每项扣1.5分；未提供不得分。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根据投标人针对本项目制定的质量保证方案响应情况进行赋分，方案内容包含：①产品选配②供货保障措施③产品使用寿命④产品出厂检验技术资料⑤质量保证措施； 方案各部分内容全面详细、阐述条理清晰详尽、符合本项目采购需求得10分；评审内容每缺一项扣2分，评审内容有缺陷或未完全响应评审标准的，每项扣1分；未提供不得分。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针对本项目制定的售后服务方案响应情况进行赋分，方案内容包含：①售后服务方式及售后人员配置②售后服务承诺及保障措施③产品交付采购方后出现质量问题的响应时间④供货不及时、出现残次品等补货换货解决方案； 方案各部分内容全面详细、阐述条理清晰详尽、符合本项目采购需求得8分；评审内容每缺一项扣2分，评审内容有缺陷或未完全响应评审标准的，每项扣1分；未提供不得分。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供应商提供2022年11月1日至今类似项目业绩，每提供1份得1.5分，最高得3分。 业绩证明（以合同或中标通知书为准，须在投标文件中附合同或中标通知书的扫描件或复印件加盖单位公章）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经初审合格的磋商文件，其最终报价为有效报价。磋商报价分应当采用最低价优先法计算，即满足磋商文件要求且投标价格最低的磋商报价为磋商基准价，其价格分为满分。 磋商基准价=评审报价的最低值，评审报价等于磋商基准价的得满分30分。 磋商报价得分=（磋商基准价/评审报价）×30。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