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FE5D1">
      <w:pPr>
        <w:jc w:val="center"/>
        <w:outlineLvl w:val="0"/>
        <w:rPr>
          <w:rFonts w:hint="eastAsia" w:ascii="宋体" w:hAnsi="宋体" w:eastAsia="宋体" w:cs="宋体"/>
          <w:b/>
          <w:color w:val="auto"/>
          <w:kern w:val="44"/>
          <w:sz w:val="44"/>
          <w:szCs w:val="44"/>
          <w:highlight w:val="none"/>
          <w:lang w:eastAsia="zh-CN"/>
        </w:rPr>
      </w:pPr>
      <w:r>
        <w:rPr>
          <w:rFonts w:hint="eastAsia" w:ascii="宋体" w:hAnsi="宋体" w:cs="宋体"/>
          <w:b/>
          <w:color w:val="auto"/>
          <w:kern w:val="44"/>
          <w:sz w:val="44"/>
          <w:szCs w:val="44"/>
          <w:highlight w:val="none"/>
          <w:lang w:eastAsia="zh-CN"/>
        </w:rPr>
        <w:t>合同草案条款</w:t>
      </w:r>
    </w:p>
    <w:p w14:paraId="2E4772C6">
      <w:pPr>
        <w:numPr>
          <w:ilvl w:val="0"/>
          <w:numId w:val="0"/>
        </w:numPr>
        <w:ind w:firstLine="723" w:firstLineChars="300"/>
        <w:jc w:val="center"/>
        <w:rPr>
          <w:rFonts w:hint="eastAsia"/>
          <w:b/>
          <w:bCs/>
          <w:sz w:val="24"/>
          <w:szCs w:val="32"/>
          <w:highlight w:val="none"/>
          <w:lang w:eastAsia="zh-CN"/>
        </w:rPr>
      </w:pPr>
      <w:r>
        <w:rPr>
          <w:rFonts w:hint="eastAsia"/>
          <w:b/>
          <w:bCs/>
          <w:sz w:val="24"/>
          <w:szCs w:val="32"/>
          <w:highlight w:val="none"/>
          <w:lang w:eastAsia="zh-CN"/>
        </w:rPr>
        <w:t>合同模板，仅供参考。</w:t>
      </w:r>
    </w:p>
    <w:p w14:paraId="57F556AE">
      <w:pPr>
        <w:pStyle w:val="10"/>
        <w:pageBreakBefore w:val="0"/>
        <w:kinsoku/>
        <w:wordWrap/>
        <w:overflowPunct/>
        <w:topLinePunct w:val="0"/>
        <w:bidi w:val="0"/>
        <w:spacing w:line="400" w:lineRule="exact"/>
        <w:rPr>
          <w:rFonts w:hint="eastAsia"/>
          <w:highlight w:val="none"/>
          <w:lang w:eastAsia="zh-CN"/>
        </w:rPr>
      </w:pPr>
    </w:p>
    <w:p w14:paraId="1DE84BDE">
      <w:pPr>
        <w:pageBreakBefore w:val="0"/>
        <w:tabs>
          <w:tab w:val="left" w:pos="735"/>
        </w:tabs>
        <w:kinsoku/>
        <w:wordWrap/>
        <w:overflowPunct/>
        <w:topLinePunct w:val="0"/>
        <w:autoSpaceDE w:val="0"/>
        <w:autoSpaceDN w:val="0"/>
        <w:bidi w:val="0"/>
        <w:adjustRightInd w:val="0"/>
        <w:snapToGrid w:val="0"/>
        <w:spacing w:line="400" w:lineRule="exact"/>
        <w:ind w:firstLine="402" w:firstLineChars="200"/>
        <w:rPr>
          <w:rFonts w:hint="eastAsia" w:asciiTheme="minorEastAsia" w:hAnsiTheme="minorEastAsia" w:eastAsiaTheme="minorEastAsia" w:cstheme="minorEastAsia"/>
          <w:b/>
          <w:bCs/>
          <w:sz w:val="20"/>
          <w:szCs w:val="20"/>
          <w:highlight w:val="none"/>
          <w:lang w:val="zh-CN"/>
        </w:rPr>
      </w:pPr>
      <w:r>
        <w:rPr>
          <w:rFonts w:hint="eastAsia" w:asciiTheme="minorEastAsia" w:hAnsiTheme="minorEastAsia" w:eastAsiaTheme="minorEastAsia" w:cstheme="minorEastAsia"/>
          <w:b/>
          <w:bCs/>
          <w:sz w:val="20"/>
          <w:szCs w:val="20"/>
          <w:highlight w:val="none"/>
          <w:lang w:val="zh-CN"/>
        </w:rPr>
        <w:t>甲方：</w:t>
      </w:r>
      <w:r>
        <w:rPr>
          <w:rFonts w:hint="eastAsia" w:asciiTheme="minorEastAsia" w:hAnsiTheme="minorEastAsia" w:eastAsiaTheme="minorEastAsia" w:cstheme="minorEastAsia"/>
          <w:bCs/>
          <w:sz w:val="20"/>
          <w:szCs w:val="20"/>
          <w:highlight w:val="none"/>
          <w:lang w:val="zh-CN"/>
        </w:rPr>
        <w:t>（前款所称采购人）</w:t>
      </w:r>
    </w:p>
    <w:p w14:paraId="02120D3F">
      <w:pPr>
        <w:pageBreakBefore w:val="0"/>
        <w:tabs>
          <w:tab w:val="left" w:pos="735"/>
        </w:tabs>
        <w:kinsoku/>
        <w:wordWrap/>
        <w:overflowPunct/>
        <w:topLinePunct w:val="0"/>
        <w:autoSpaceDE w:val="0"/>
        <w:autoSpaceDN w:val="0"/>
        <w:bidi w:val="0"/>
        <w:adjustRightInd w:val="0"/>
        <w:snapToGrid w:val="0"/>
        <w:spacing w:line="400" w:lineRule="exact"/>
        <w:ind w:firstLine="402" w:firstLineChars="200"/>
        <w:rPr>
          <w:rFonts w:hint="eastAsia" w:asciiTheme="minorEastAsia" w:hAnsiTheme="minorEastAsia" w:eastAsiaTheme="minorEastAsia" w:cstheme="minorEastAsia"/>
          <w:bCs/>
          <w:sz w:val="20"/>
          <w:szCs w:val="20"/>
          <w:highlight w:val="none"/>
          <w:lang w:val="zh-CN"/>
        </w:rPr>
      </w:pPr>
      <w:r>
        <w:rPr>
          <w:rFonts w:hint="eastAsia" w:asciiTheme="minorEastAsia" w:hAnsiTheme="minorEastAsia" w:eastAsiaTheme="minorEastAsia" w:cstheme="minorEastAsia"/>
          <w:b/>
          <w:bCs/>
          <w:sz w:val="20"/>
          <w:szCs w:val="20"/>
          <w:highlight w:val="none"/>
          <w:lang w:val="zh-CN"/>
        </w:rPr>
        <w:t>乙方：</w:t>
      </w:r>
      <w:r>
        <w:rPr>
          <w:rFonts w:hint="eastAsia" w:asciiTheme="minorEastAsia" w:hAnsiTheme="minorEastAsia" w:eastAsiaTheme="minorEastAsia" w:cstheme="minorEastAsia"/>
          <w:bCs/>
          <w:sz w:val="20"/>
          <w:szCs w:val="20"/>
          <w:highlight w:val="none"/>
          <w:lang w:val="zh-CN"/>
        </w:rPr>
        <w:t>（前款所称中标单位）</w:t>
      </w:r>
    </w:p>
    <w:p w14:paraId="5F12335B">
      <w:pPr>
        <w:pStyle w:val="6"/>
        <w:pageBreakBefore w:val="0"/>
        <w:kinsoku/>
        <w:wordWrap/>
        <w:overflowPunct/>
        <w:topLinePunct w:val="0"/>
        <w:bidi w:val="0"/>
        <w:spacing w:line="400" w:lineRule="exact"/>
        <w:ind w:firstLine="400" w:firstLineChars="200"/>
        <w:rPr>
          <w:rFonts w:hint="eastAsia" w:asciiTheme="minorEastAsia" w:hAnsiTheme="minorEastAsia" w:eastAsiaTheme="minorEastAsia" w:cstheme="minorEastAsia"/>
          <w:kern w:val="2"/>
          <w:sz w:val="20"/>
          <w:szCs w:val="20"/>
          <w:highlight w:val="none"/>
          <w:lang w:val="zh-CN" w:eastAsia="zh-CN" w:bidi="ar-SA"/>
        </w:rPr>
      </w:pPr>
      <w:r>
        <w:rPr>
          <w:rFonts w:hint="eastAsia" w:asciiTheme="minorEastAsia" w:hAnsiTheme="minorEastAsia" w:eastAsiaTheme="minorEastAsia" w:cstheme="minorEastAsia"/>
          <w:kern w:val="2"/>
          <w:sz w:val="20"/>
          <w:szCs w:val="20"/>
          <w:highlight w:val="none"/>
          <w:lang w:val="zh-CN" w:eastAsia="zh-CN" w:bidi="ar-SA"/>
        </w:rPr>
        <w:t>根据《中华人民共和国政府采购法》、《中华人民共和国民法典》、《中华人民共和国政府采购法实施条例》等法律法规，甲方通过公开招标，选定乙方为中标单位。</w:t>
      </w:r>
    </w:p>
    <w:p w14:paraId="295CD103">
      <w:pPr>
        <w:pStyle w:val="6"/>
        <w:pageBreakBefore w:val="0"/>
        <w:kinsoku/>
        <w:wordWrap/>
        <w:overflowPunct/>
        <w:topLinePunct w:val="0"/>
        <w:bidi w:val="0"/>
        <w:spacing w:line="400" w:lineRule="exact"/>
        <w:ind w:firstLine="400" w:firstLineChars="200"/>
        <w:rPr>
          <w:rFonts w:hint="eastAsia" w:asciiTheme="minorEastAsia" w:hAnsiTheme="minorEastAsia" w:eastAsiaTheme="minorEastAsia" w:cstheme="minorEastAsia"/>
          <w:kern w:val="2"/>
          <w:sz w:val="20"/>
          <w:szCs w:val="20"/>
          <w:highlight w:val="none"/>
          <w:lang w:val="zh-CN" w:eastAsia="zh-CN" w:bidi="ar-SA"/>
        </w:rPr>
      </w:pPr>
      <w:r>
        <w:rPr>
          <w:rFonts w:hint="eastAsia" w:asciiTheme="minorEastAsia" w:hAnsiTheme="minorEastAsia" w:eastAsiaTheme="minorEastAsia" w:cstheme="minorEastAsia"/>
          <w:kern w:val="2"/>
          <w:sz w:val="20"/>
          <w:szCs w:val="20"/>
          <w:highlight w:val="none"/>
          <w:lang w:val="zh-CN" w:eastAsia="zh-CN" w:bidi="ar-SA"/>
        </w:rPr>
        <w:t>甲、乙双方在平等基础上协商一致，达成如下合同条款:</w:t>
      </w:r>
    </w:p>
    <w:p w14:paraId="295A91A8">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0" w:name="_Toc31593"/>
      <w:bookmarkStart w:id="1" w:name="_Toc1896"/>
      <w:r>
        <w:rPr>
          <w:rFonts w:hint="eastAsia" w:asciiTheme="minorEastAsia" w:hAnsiTheme="minorEastAsia" w:eastAsiaTheme="minorEastAsia" w:cstheme="minorEastAsia"/>
          <w:sz w:val="20"/>
          <w:szCs w:val="20"/>
          <w:highlight w:val="none"/>
          <w:lang w:val="zh-CN"/>
        </w:rPr>
        <w:t>一、合同内容:</w:t>
      </w:r>
      <w:bookmarkEnd w:id="0"/>
      <w:bookmarkEnd w:id="1"/>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007"/>
        <w:gridCol w:w="697"/>
        <w:gridCol w:w="851"/>
        <w:gridCol w:w="851"/>
        <w:gridCol w:w="851"/>
        <w:gridCol w:w="851"/>
        <w:gridCol w:w="851"/>
        <w:gridCol w:w="852"/>
        <w:gridCol w:w="852"/>
      </w:tblGrid>
      <w:tr w14:paraId="793F8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79CC792D">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bookmarkStart w:id="2" w:name="_Toc16955"/>
            <w:bookmarkStart w:id="3" w:name="_Toc13753"/>
            <w:r>
              <w:rPr>
                <w:rFonts w:hint="eastAsia" w:asciiTheme="minorEastAsia" w:hAnsiTheme="minorEastAsia" w:eastAsiaTheme="minorEastAsia" w:cstheme="minorEastAsia"/>
                <w:b/>
                <w:bCs/>
                <w:i w:val="0"/>
                <w:iCs w:val="0"/>
                <w:color w:val="000000"/>
                <w:kern w:val="0"/>
                <w:sz w:val="20"/>
                <w:szCs w:val="20"/>
                <w:u w:val="none"/>
                <w:lang w:val="en-US" w:eastAsia="zh-CN" w:bidi="ar"/>
              </w:rPr>
              <w:t>序号</w:t>
            </w:r>
          </w:p>
        </w:tc>
        <w:tc>
          <w:tcPr>
            <w:tcW w:w="1007" w:type="dxa"/>
            <w:vAlign w:val="center"/>
          </w:tcPr>
          <w:p w14:paraId="4F251C0A">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产品名称</w:t>
            </w:r>
          </w:p>
        </w:tc>
        <w:tc>
          <w:tcPr>
            <w:tcW w:w="697" w:type="dxa"/>
            <w:vAlign w:val="center"/>
          </w:tcPr>
          <w:p w14:paraId="66B3F434">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品牌/型号</w:t>
            </w:r>
          </w:p>
        </w:tc>
        <w:tc>
          <w:tcPr>
            <w:tcW w:w="851" w:type="dxa"/>
            <w:vAlign w:val="center"/>
          </w:tcPr>
          <w:p w14:paraId="23E65DB3">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制造厂家</w:t>
            </w:r>
          </w:p>
        </w:tc>
        <w:tc>
          <w:tcPr>
            <w:tcW w:w="851" w:type="dxa"/>
            <w:vAlign w:val="center"/>
          </w:tcPr>
          <w:p w14:paraId="76024AFD">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0"/>
                <w:szCs w:val="20"/>
                <w:u w:val="none"/>
                <w:lang w:val="en-US" w:eastAsia="zh-CN" w:bidi="ar"/>
              </w:rPr>
            </w:pPr>
            <w:r>
              <w:rPr>
                <w:rFonts w:hint="eastAsia" w:asciiTheme="minorEastAsia" w:hAnsiTheme="minorEastAsia" w:eastAsiaTheme="minorEastAsia" w:cstheme="minorEastAsia"/>
                <w:b/>
                <w:bCs/>
                <w:i w:val="0"/>
                <w:iCs w:val="0"/>
                <w:color w:val="000000"/>
                <w:kern w:val="0"/>
                <w:sz w:val="20"/>
                <w:szCs w:val="20"/>
                <w:u w:val="none"/>
                <w:lang w:val="en-US" w:eastAsia="zh-CN" w:bidi="ar"/>
              </w:rPr>
              <w:t>规格和说明</w:t>
            </w:r>
          </w:p>
        </w:tc>
        <w:tc>
          <w:tcPr>
            <w:tcW w:w="851" w:type="dxa"/>
            <w:vAlign w:val="center"/>
          </w:tcPr>
          <w:p w14:paraId="40AFB159">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0"/>
                <w:szCs w:val="20"/>
                <w:u w:val="none"/>
                <w:lang w:val="en-US" w:eastAsia="zh-CN" w:bidi="ar"/>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单位</w:t>
            </w:r>
          </w:p>
        </w:tc>
        <w:tc>
          <w:tcPr>
            <w:tcW w:w="851" w:type="dxa"/>
            <w:vAlign w:val="center"/>
          </w:tcPr>
          <w:p w14:paraId="2527CA4C">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数量</w:t>
            </w:r>
          </w:p>
        </w:tc>
        <w:tc>
          <w:tcPr>
            <w:tcW w:w="851" w:type="dxa"/>
            <w:vAlign w:val="center"/>
          </w:tcPr>
          <w:p w14:paraId="652A6E80">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0"/>
                <w:szCs w:val="20"/>
                <w:u w:val="none"/>
                <w:lang w:val="en-US" w:eastAsia="zh-CN" w:bidi="ar"/>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单价</w:t>
            </w:r>
          </w:p>
          <w:p w14:paraId="4CB5233A">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（元）</w:t>
            </w:r>
          </w:p>
        </w:tc>
        <w:tc>
          <w:tcPr>
            <w:tcW w:w="852" w:type="dxa"/>
            <w:vAlign w:val="center"/>
          </w:tcPr>
          <w:p w14:paraId="429F2F3F">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总价（元）</w:t>
            </w:r>
          </w:p>
        </w:tc>
        <w:tc>
          <w:tcPr>
            <w:tcW w:w="852" w:type="dxa"/>
            <w:vAlign w:val="center"/>
          </w:tcPr>
          <w:p w14:paraId="78852F99">
            <w:pPr>
              <w:keepNext w:val="0"/>
              <w:keepLines w:val="0"/>
              <w:widowControl/>
              <w:suppressLineNumbers w:val="0"/>
              <w:jc w:val="center"/>
              <w:textAlignment w:val="center"/>
              <w:rPr>
                <w:rFonts w:hint="eastAsia" w:asciiTheme="minorEastAsia" w:hAnsiTheme="minorEastAsia" w:eastAsiaTheme="minorEastAsia" w:cstheme="minorEastAsia"/>
                <w:b w:val="0"/>
                <w:bCs/>
                <w:sz w:val="20"/>
                <w:szCs w:val="20"/>
                <w:highlight w:val="none"/>
                <w:vertAlign w:val="baseline"/>
                <w:lang w:val="zh-CN" w:eastAsia="zh-CN"/>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备注</w:t>
            </w:r>
          </w:p>
        </w:tc>
      </w:tr>
      <w:tr w14:paraId="6E0B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5DC1AEF7">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r>
              <w:rPr>
                <w:rFonts w:hint="eastAsia" w:asciiTheme="minorEastAsia" w:hAnsiTheme="minorEastAsia" w:eastAsiaTheme="minorEastAsia" w:cstheme="minorEastAsia"/>
                <w:b/>
                <w:bCs/>
                <w:color w:val="000000"/>
                <w:kern w:val="0"/>
                <w:sz w:val="20"/>
                <w:szCs w:val="20"/>
                <w:highlight w:val="none"/>
                <w:lang w:val="en-US" w:eastAsia="zh-CN" w:bidi="ar"/>
              </w:rPr>
              <w:t>1</w:t>
            </w:r>
          </w:p>
        </w:tc>
        <w:tc>
          <w:tcPr>
            <w:tcW w:w="1007" w:type="dxa"/>
            <w:vAlign w:val="center"/>
          </w:tcPr>
          <w:p w14:paraId="39CA5A6A">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697" w:type="dxa"/>
            <w:vAlign w:val="center"/>
          </w:tcPr>
          <w:p w14:paraId="7973A12F">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15FA9A57">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6547C0F0">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48E20BDF">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577514F4">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6D60111D">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416B409B">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475E65AB">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r>
      <w:tr w14:paraId="1994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14CE5FED">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r>
              <w:rPr>
                <w:rFonts w:hint="eastAsia" w:asciiTheme="minorEastAsia" w:hAnsiTheme="minorEastAsia" w:eastAsiaTheme="minorEastAsia" w:cstheme="minorEastAsia"/>
                <w:b/>
                <w:bCs/>
                <w:color w:val="000000"/>
                <w:kern w:val="0"/>
                <w:sz w:val="20"/>
                <w:szCs w:val="20"/>
                <w:highlight w:val="none"/>
                <w:lang w:val="en-US" w:eastAsia="zh-CN" w:bidi="ar"/>
              </w:rPr>
              <w:t>2</w:t>
            </w:r>
          </w:p>
        </w:tc>
        <w:tc>
          <w:tcPr>
            <w:tcW w:w="1007" w:type="dxa"/>
            <w:vAlign w:val="center"/>
          </w:tcPr>
          <w:p w14:paraId="4A662F88">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697" w:type="dxa"/>
            <w:vAlign w:val="center"/>
          </w:tcPr>
          <w:p w14:paraId="731166CD">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300D25BE">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663B1037">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098EDBC3">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2DECEBA0">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4C08F16F">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54D409C7">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21D309E8">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r>
      <w:tr w14:paraId="34C9C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1" w:type="dxa"/>
            <w:vAlign w:val="center"/>
          </w:tcPr>
          <w:p w14:paraId="6586A9F5">
            <w:pPr>
              <w:keepNext w:val="0"/>
              <w:keepLines w:val="0"/>
              <w:pageBreakBefore w:val="0"/>
              <w:widowControl/>
              <w:suppressLineNumbers w:val="0"/>
              <w:kinsoku/>
              <w:wordWrap/>
              <w:overflowPunct/>
              <w:topLinePunct w:val="0"/>
              <w:bidi w:val="0"/>
              <w:spacing w:line="400" w:lineRule="exact"/>
              <w:jc w:val="center"/>
              <w:rPr>
                <w:rFonts w:hint="default" w:asciiTheme="minorEastAsia" w:hAnsiTheme="minorEastAsia" w:eastAsiaTheme="minorEastAsia" w:cstheme="minorEastAsia"/>
                <w:b/>
                <w:bCs/>
                <w:color w:val="000000"/>
                <w:kern w:val="0"/>
                <w:sz w:val="20"/>
                <w:szCs w:val="20"/>
                <w:highlight w:val="none"/>
                <w:lang w:val="en-US" w:eastAsia="zh-CN" w:bidi="ar"/>
              </w:rPr>
            </w:pPr>
            <w:r>
              <w:rPr>
                <w:rFonts w:hint="eastAsia" w:asciiTheme="minorEastAsia" w:hAnsiTheme="minorEastAsia" w:eastAsiaTheme="minorEastAsia" w:cstheme="minorEastAsia"/>
                <w:b/>
                <w:bCs/>
                <w:color w:val="000000"/>
                <w:kern w:val="0"/>
                <w:sz w:val="20"/>
                <w:szCs w:val="20"/>
                <w:highlight w:val="none"/>
                <w:lang w:val="en-US" w:eastAsia="zh-CN" w:bidi="ar"/>
              </w:rPr>
              <w:t>...</w:t>
            </w:r>
          </w:p>
        </w:tc>
        <w:tc>
          <w:tcPr>
            <w:tcW w:w="1007" w:type="dxa"/>
            <w:vAlign w:val="center"/>
          </w:tcPr>
          <w:p w14:paraId="73BB4E93">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697" w:type="dxa"/>
            <w:vAlign w:val="center"/>
          </w:tcPr>
          <w:p w14:paraId="1E9C6936">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3816387E">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6AAD9EF8">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4A202537">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382B44FB">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1" w:type="dxa"/>
            <w:vAlign w:val="center"/>
          </w:tcPr>
          <w:p w14:paraId="54EFD15B">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5F08CEAF">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c>
          <w:tcPr>
            <w:tcW w:w="852" w:type="dxa"/>
            <w:vAlign w:val="center"/>
          </w:tcPr>
          <w:p w14:paraId="19FFDBAE">
            <w:pPr>
              <w:keepNext w:val="0"/>
              <w:keepLines w:val="0"/>
              <w:pageBreakBefore w:val="0"/>
              <w:widowControl/>
              <w:suppressLineNumbers w:val="0"/>
              <w:kinsoku/>
              <w:wordWrap/>
              <w:overflowPunct/>
              <w:topLinePunct w:val="0"/>
              <w:bidi w:val="0"/>
              <w:spacing w:line="400" w:lineRule="exact"/>
              <w:jc w:val="center"/>
              <w:rPr>
                <w:rFonts w:hint="eastAsia" w:asciiTheme="minorEastAsia" w:hAnsiTheme="minorEastAsia" w:eastAsiaTheme="minorEastAsia" w:cstheme="minorEastAsia"/>
                <w:b/>
                <w:bCs/>
                <w:color w:val="000000"/>
                <w:kern w:val="0"/>
                <w:sz w:val="20"/>
                <w:szCs w:val="20"/>
                <w:highlight w:val="none"/>
                <w:lang w:val="en-US" w:eastAsia="zh-CN" w:bidi="ar"/>
              </w:rPr>
            </w:pPr>
          </w:p>
        </w:tc>
      </w:tr>
      <w:tr w14:paraId="0A9BA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58" w:type="dxa"/>
            <w:gridSpan w:val="2"/>
            <w:vAlign w:val="center"/>
          </w:tcPr>
          <w:p w14:paraId="13DBFAAA">
            <w:pPr>
              <w:keepNext w:val="0"/>
              <w:keepLines w:val="0"/>
              <w:pageBreakBefore w:val="0"/>
              <w:widowControl/>
              <w:suppressLineNumbers w:val="0"/>
              <w:kinsoku/>
              <w:wordWrap/>
              <w:overflowPunct/>
              <w:topLinePunct w:val="0"/>
              <w:bidi w:val="0"/>
              <w:spacing w:line="400" w:lineRule="exact"/>
              <w:jc w:val="left"/>
              <w:rPr>
                <w:rFonts w:hint="eastAsia" w:asciiTheme="minorEastAsia" w:hAnsiTheme="minorEastAsia" w:eastAsiaTheme="minorEastAsia" w:cstheme="minorEastAsia"/>
                <w:b/>
                <w:bCs/>
                <w:color w:val="000000"/>
                <w:kern w:val="0"/>
                <w:sz w:val="20"/>
                <w:szCs w:val="20"/>
                <w:highlight w:val="none"/>
                <w:lang w:val="en-US" w:eastAsia="zh-CN" w:bidi="ar"/>
              </w:rPr>
            </w:pPr>
            <w:r>
              <w:rPr>
                <w:rFonts w:hint="eastAsia" w:asciiTheme="minorEastAsia" w:hAnsiTheme="minorEastAsia" w:eastAsiaTheme="minorEastAsia" w:cstheme="minorEastAsia"/>
                <w:b/>
                <w:bCs/>
                <w:color w:val="000000"/>
                <w:kern w:val="0"/>
                <w:sz w:val="20"/>
                <w:szCs w:val="20"/>
                <w:highlight w:val="none"/>
                <w:lang w:val="en-US" w:eastAsia="zh-CN" w:bidi="ar"/>
              </w:rPr>
              <w:t>总计（人民币/元）</w:t>
            </w:r>
          </w:p>
        </w:tc>
        <w:tc>
          <w:tcPr>
            <w:tcW w:w="6656" w:type="dxa"/>
            <w:gridSpan w:val="8"/>
            <w:vAlign w:val="center"/>
          </w:tcPr>
          <w:p w14:paraId="7FED41D9">
            <w:pPr>
              <w:keepNext w:val="0"/>
              <w:keepLines w:val="0"/>
              <w:pageBreakBefore w:val="0"/>
              <w:widowControl/>
              <w:suppressLineNumbers w:val="0"/>
              <w:kinsoku/>
              <w:wordWrap/>
              <w:overflowPunct/>
              <w:topLinePunct w:val="0"/>
              <w:bidi w:val="0"/>
              <w:spacing w:line="400" w:lineRule="exact"/>
              <w:jc w:val="left"/>
              <w:rPr>
                <w:rFonts w:hint="eastAsia" w:asciiTheme="minorEastAsia" w:hAnsiTheme="minorEastAsia" w:eastAsiaTheme="minorEastAsia" w:cstheme="minorEastAsia"/>
                <w:b/>
                <w:bCs/>
                <w:color w:val="000000"/>
                <w:kern w:val="0"/>
                <w:sz w:val="20"/>
                <w:szCs w:val="20"/>
                <w:highlight w:val="none"/>
                <w:lang w:val="en-US" w:eastAsia="zh-CN" w:bidi="ar"/>
              </w:rPr>
            </w:pPr>
            <w:r>
              <w:rPr>
                <w:rFonts w:hint="eastAsia" w:asciiTheme="minorEastAsia" w:hAnsiTheme="minorEastAsia" w:eastAsiaTheme="minorEastAsia" w:cstheme="minorEastAsia"/>
                <w:b/>
                <w:bCs/>
                <w:color w:val="000000"/>
                <w:kern w:val="0"/>
                <w:sz w:val="20"/>
                <w:szCs w:val="20"/>
                <w:highlight w:val="none"/>
                <w:lang w:val="en-US" w:eastAsia="zh-CN" w:bidi="ar"/>
              </w:rPr>
              <w:t>￥：</w:t>
            </w:r>
            <w:r>
              <w:rPr>
                <w:rFonts w:hint="eastAsia" w:asciiTheme="minorEastAsia" w:hAnsiTheme="minorEastAsia" w:eastAsiaTheme="minorEastAsia" w:cstheme="minorEastAsia"/>
                <w:b/>
                <w:bCs/>
                <w:color w:val="000000"/>
                <w:kern w:val="0"/>
                <w:sz w:val="20"/>
                <w:szCs w:val="20"/>
                <w:highlight w:val="none"/>
                <w:u w:val="single"/>
                <w:lang w:val="en-US" w:eastAsia="zh-CN" w:bidi="ar"/>
              </w:rPr>
              <w:t xml:space="preserve">      </w:t>
            </w:r>
            <w:r>
              <w:rPr>
                <w:rFonts w:hint="eastAsia" w:asciiTheme="minorEastAsia" w:hAnsiTheme="minorEastAsia" w:eastAsiaTheme="minorEastAsia" w:cstheme="minorEastAsia"/>
                <w:b/>
                <w:bCs/>
                <w:color w:val="000000"/>
                <w:kern w:val="0"/>
                <w:sz w:val="20"/>
                <w:szCs w:val="20"/>
                <w:highlight w:val="none"/>
                <w:lang w:val="en-US" w:eastAsia="zh-CN" w:bidi="ar"/>
              </w:rPr>
              <w:t>（大写：</w:t>
            </w:r>
            <w:r>
              <w:rPr>
                <w:rFonts w:hint="eastAsia" w:asciiTheme="minorEastAsia" w:hAnsiTheme="minorEastAsia" w:eastAsiaTheme="minorEastAsia" w:cstheme="minorEastAsia"/>
                <w:b/>
                <w:bCs/>
                <w:color w:val="000000"/>
                <w:kern w:val="0"/>
                <w:sz w:val="20"/>
                <w:szCs w:val="20"/>
                <w:highlight w:val="none"/>
                <w:u w:val="single"/>
                <w:lang w:val="en-US" w:eastAsia="zh-CN" w:bidi="ar"/>
              </w:rPr>
              <w:t xml:space="preserve">        </w:t>
            </w:r>
            <w:r>
              <w:rPr>
                <w:rFonts w:hint="eastAsia" w:asciiTheme="minorEastAsia" w:hAnsiTheme="minorEastAsia" w:eastAsiaTheme="minorEastAsia" w:cstheme="minorEastAsia"/>
                <w:b/>
                <w:bCs/>
                <w:color w:val="000000"/>
                <w:kern w:val="0"/>
                <w:sz w:val="20"/>
                <w:szCs w:val="20"/>
                <w:highlight w:val="none"/>
                <w:lang w:val="en-US" w:eastAsia="zh-CN" w:bidi="ar"/>
              </w:rPr>
              <w:t xml:space="preserve"> ）</w:t>
            </w:r>
          </w:p>
        </w:tc>
      </w:tr>
    </w:tbl>
    <w:p w14:paraId="5CAF7500">
      <w:pPr>
        <w:pageBreakBefore w:val="0"/>
        <w:kinsoku/>
        <w:wordWrap/>
        <w:overflowPunct/>
        <w:topLinePunct w:val="0"/>
        <w:bidi w:val="0"/>
        <w:adjustRightInd w:val="0"/>
        <w:snapToGrid w:val="0"/>
        <w:spacing w:line="400" w:lineRule="exact"/>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eastAsia="zh-CN"/>
        </w:rPr>
        <w:t xml:space="preserve">（参数较多可以附件说明） </w:t>
      </w:r>
    </w:p>
    <w:p w14:paraId="5F91DA1D">
      <w:pPr>
        <w:pageBreakBefore w:val="0"/>
        <w:kinsoku/>
        <w:wordWrap/>
        <w:overflowPunct/>
        <w:topLinePunct w:val="0"/>
        <w:bidi w:val="0"/>
        <w:adjustRightInd w:val="0"/>
        <w:snapToGrid w:val="0"/>
        <w:spacing w:line="400" w:lineRule="exact"/>
        <w:ind w:firstLine="400" w:firstLineChars="200"/>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eastAsia="zh-CN"/>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0F1BB8D3">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r>
        <w:rPr>
          <w:rFonts w:hint="eastAsia" w:asciiTheme="minorEastAsia" w:hAnsiTheme="minorEastAsia" w:eastAsiaTheme="minorEastAsia" w:cstheme="minorEastAsia"/>
          <w:sz w:val="20"/>
          <w:szCs w:val="20"/>
          <w:highlight w:val="none"/>
          <w:lang w:val="zh-CN"/>
        </w:rPr>
        <w:t>二、合同价款：</w:t>
      </w:r>
      <w:bookmarkEnd w:id="2"/>
      <w:bookmarkEnd w:id="3"/>
    </w:p>
    <w:p w14:paraId="6AFE1465">
      <w:pPr>
        <w:pageBreakBefore w:val="0"/>
        <w:kinsoku/>
        <w:wordWrap/>
        <w:overflowPunct/>
        <w:topLinePunct w:val="0"/>
        <w:bidi w:val="0"/>
        <w:adjustRightInd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1、合同总价：</w:t>
      </w:r>
      <w:r>
        <w:rPr>
          <w:rFonts w:hint="eastAsia" w:asciiTheme="minorEastAsia" w:hAnsiTheme="minorEastAsia" w:eastAsiaTheme="minorEastAsia" w:cstheme="minorEastAsia"/>
          <w:sz w:val="20"/>
          <w:szCs w:val="20"/>
          <w:highlight w:val="none"/>
          <w:lang w:val="en-US" w:eastAsia="zh-CN"/>
        </w:rPr>
        <w:t>人民币大写：</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highlight w:val="none"/>
          <w:lang w:val="en-US" w:eastAsia="zh-CN"/>
        </w:rPr>
        <w:t>元整；￥</w:t>
      </w:r>
      <w:r>
        <w:rPr>
          <w:rFonts w:hint="eastAsia" w:asciiTheme="minorEastAsia" w:hAnsiTheme="minorEastAsia" w:eastAsiaTheme="minorEastAsia" w:cstheme="minorEastAsia"/>
          <w:sz w:val="20"/>
          <w:szCs w:val="20"/>
          <w:highlight w:val="none"/>
          <w:u w:val="single"/>
          <w:lang w:val="en-US" w:eastAsia="zh-CN"/>
        </w:rPr>
        <w:t xml:space="preserve">    </w:t>
      </w:r>
      <w:r>
        <w:rPr>
          <w:rFonts w:hint="eastAsia" w:asciiTheme="minorEastAsia" w:hAnsiTheme="minorEastAsia" w:eastAsiaTheme="minorEastAsia" w:cstheme="minorEastAsia"/>
          <w:sz w:val="20"/>
          <w:szCs w:val="20"/>
          <w:highlight w:val="none"/>
          <w:lang w:val="en-US" w:eastAsia="zh-CN"/>
        </w:rPr>
        <w:t xml:space="preserve">元。 </w:t>
      </w:r>
    </w:p>
    <w:p w14:paraId="5D58BDE2">
      <w:pPr>
        <w:pageBreakBefore w:val="0"/>
        <w:kinsoku/>
        <w:wordWrap/>
        <w:overflowPunct/>
        <w:topLinePunct w:val="0"/>
        <w:bidi w:val="0"/>
        <w:adjustRightInd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2、合同总价：包括新设备制造费、保管费、运杂费、装卸费、保险费、管理费、改造费、安装调试费、垃圾清运费检测验收费、专用工具、备品备件、技术资料、培训费、税金及其它相关的一切费用。</w:t>
      </w:r>
    </w:p>
    <w:p w14:paraId="42D06F90">
      <w:pPr>
        <w:pageBreakBefore w:val="0"/>
        <w:tabs>
          <w:tab w:val="left" w:pos="735"/>
        </w:tabs>
        <w:kinsoku/>
        <w:wordWrap/>
        <w:overflowPunct/>
        <w:topLinePunct w:val="0"/>
        <w:bidi w:val="0"/>
        <w:adjustRightInd w:val="0"/>
        <w:snapToGrid w:val="0"/>
        <w:spacing w:line="400" w:lineRule="exact"/>
        <w:ind w:firstLine="420" w:firstLineChars="21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3、合同总价一次包死，不受市场价变化的影响。</w:t>
      </w:r>
    </w:p>
    <w:p w14:paraId="30AE1420">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4" w:name="_Toc18956"/>
      <w:bookmarkStart w:id="5" w:name="_Toc13431"/>
      <w:r>
        <w:rPr>
          <w:rFonts w:hint="eastAsia" w:asciiTheme="minorEastAsia" w:hAnsiTheme="minorEastAsia" w:eastAsiaTheme="minorEastAsia" w:cstheme="minorEastAsia"/>
          <w:sz w:val="20"/>
          <w:szCs w:val="20"/>
          <w:highlight w:val="none"/>
          <w:lang w:val="zh-CN"/>
        </w:rPr>
        <w:t>三、合同结算：</w:t>
      </w:r>
      <w:bookmarkEnd w:id="4"/>
      <w:bookmarkEnd w:id="5"/>
    </w:p>
    <w:p w14:paraId="7E1A8F1F">
      <w:pPr>
        <w:pageBreakBefore w:val="0"/>
        <w:kinsoku/>
        <w:wordWrap/>
        <w:overflowPunct/>
        <w:topLinePunct w:val="0"/>
        <w:autoSpaceDE w:val="0"/>
        <w:autoSpaceDN w:val="0"/>
        <w:bidi w:val="0"/>
        <w:adjustRightInd w:val="0"/>
        <w:snapToGrid w:val="0"/>
        <w:spacing w:line="400" w:lineRule="exact"/>
        <w:ind w:firstLine="646"/>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1、付款比例：</w:t>
      </w:r>
    </w:p>
    <w:p w14:paraId="3D5CF0E4">
      <w:pPr>
        <w:pageBreakBefore w:val="0"/>
        <w:kinsoku/>
        <w:wordWrap/>
        <w:overflowPunct/>
        <w:topLinePunct w:val="0"/>
        <w:autoSpaceDE w:val="0"/>
        <w:autoSpaceDN w:val="0"/>
        <w:bidi w:val="0"/>
        <w:adjustRightInd w:val="0"/>
        <w:snapToGrid w:val="0"/>
        <w:spacing w:line="400" w:lineRule="exact"/>
        <w:ind w:firstLine="645"/>
        <w:rPr>
          <w:rFonts w:hint="eastAsia" w:asciiTheme="minorEastAsia" w:hAnsiTheme="minorEastAsia" w:eastAsiaTheme="minorEastAsia" w:cstheme="minorEastAsia"/>
          <w:b w:val="0"/>
          <w:bCs w:val="0"/>
          <w:color w:val="000000"/>
          <w:sz w:val="20"/>
          <w:szCs w:val="20"/>
          <w:highlight w:val="none"/>
          <w:lang w:eastAsia="zh-CN"/>
        </w:rPr>
      </w:pPr>
      <w:r>
        <w:rPr>
          <w:rFonts w:hint="eastAsia" w:asciiTheme="minorEastAsia" w:hAnsiTheme="minorEastAsia" w:eastAsiaTheme="minorEastAsia" w:cstheme="minorEastAsia"/>
          <w:b w:val="0"/>
          <w:bCs w:val="0"/>
          <w:color w:val="000000"/>
          <w:sz w:val="20"/>
          <w:szCs w:val="20"/>
          <w:highlight w:val="none"/>
        </w:rPr>
        <w:t>交货完毕验收无误且财政资金到位后30个工作日内一次性支付100%的合同款。</w:t>
      </w:r>
    </w:p>
    <w:p w14:paraId="6B43D93B">
      <w:pPr>
        <w:pageBreakBefore w:val="0"/>
        <w:kinsoku/>
        <w:wordWrap/>
        <w:overflowPunct/>
        <w:topLinePunct w:val="0"/>
        <w:autoSpaceDE w:val="0"/>
        <w:autoSpaceDN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2、结算方式：由采购双方签订合同时具体约定。</w:t>
      </w:r>
    </w:p>
    <w:p w14:paraId="3183CFC9">
      <w:pPr>
        <w:pageBreakBefore w:val="0"/>
        <w:kinsoku/>
        <w:wordWrap/>
        <w:overflowPunct/>
        <w:topLinePunct w:val="0"/>
        <w:autoSpaceDE w:val="0"/>
        <w:autoSpaceDN w:val="0"/>
        <w:bidi w:val="0"/>
        <w:adjustRightInd w:val="0"/>
        <w:snapToGrid w:val="0"/>
        <w:spacing w:line="400" w:lineRule="exact"/>
        <w:ind w:firstLine="645"/>
        <w:rPr>
          <w:rFonts w:hint="eastAsia" w:asciiTheme="minorEastAsia" w:hAnsiTheme="minorEastAsia" w:eastAsiaTheme="minorEastAsia" w:cstheme="minorEastAsia"/>
          <w:color w:val="FF0000"/>
          <w:sz w:val="20"/>
          <w:szCs w:val="20"/>
          <w:highlight w:val="none"/>
        </w:rPr>
      </w:pPr>
      <w:r>
        <w:rPr>
          <w:rFonts w:hint="eastAsia" w:asciiTheme="minorEastAsia" w:hAnsiTheme="minorEastAsia" w:eastAsiaTheme="minorEastAsia" w:cstheme="minorEastAsia"/>
          <w:color w:val="000000"/>
          <w:sz w:val="20"/>
          <w:szCs w:val="20"/>
          <w:highlight w:val="none"/>
        </w:rPr>
        <w:t>3、结算单位：由</w:t>
      </w:r>
      <w:r>
        <w:rPr>
          <w:rFonts w:hint="eastAsia" w:asciiTheme="minorEastAsia" w:hAnsiTheme="minorEastAsia" w:eastAsiaTheme="minorEastAsia" w:cstheme="minorEastAsia"/>
          <w:color w:val="000000"/>
          <w:sz w:val="20"/>
          <w:szCs w:val="20"/>
          <w:highlight w:val="none"/>
          <w:u w:val="single"/>
        </w:rPr>
        <w:t>甲方</w:t>
      </w:r>
      <w:r>
        <w:rPr>
          <w:rFonts w:hint="eastAsia" w:asciiTheme="minorEastAsia" w:hAnsiTheme="minorEastAsia" w:eastAsiaTheme="minorEastAsia" w:cstheme="minorEastAsia"/>
          <w:color w:val="000000"/>
          <w:sz w:val="20"/>
          <w:szCs w:val="20"/>
          <w:highlight w:val="none"/>
        </w:rPr>
        <w:t>负责结算，乙方开具合同总价数的全额发票交采购人。</w:t>
      </w:r>
    </w:p>
    <w:p w14:paraId="4DB170D5">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6" w:name="_Toc3546"/>
      <w:bookmarkStart w:id="7" w:name="_Toc22900"/>
      <w:r>
        <w:rPr>
          <w:rFonts w:hint="eastAsia" w:asciiTheme="minorEastAsia" w:hAnsiTheme="minorEastAsia" w:eastAsiaTheme="minorEastAsia" w:cstheme="minorEastAsia"/>
          <w:sz w:val="20"/>
          <w:szCs w:val="20"/>
          <w:highlight w:val="none"/>
          <w:lang w:val="zh-CN"/>
        </w:rPr>
        <w:t>四、交货条件:</w:t>
      </w:r>
      <w:bookmarkEnd w:id="6"/>
      <w:bookmarkEnd w:id="7"/>
    </w:p>
    <w:p w14:paraId="64AAD5AD">
      <w:pPr>
        <w:pageBreakBefore w:val="0"/>
        <w:tabs>
          <w:tab w:val="left" w:pos="735"/>
        </w:tabs>
        <w:kinsoku/>
        <w:wordWrap/>
        <w:overflowPunct/>
        <w:topLinePunct w:val="0"/>
        <w:autoSpaceDE w:val="0"/>
        <w:autoSpaceDN w:val="0"/>
        <w:bidi w:val="0"/>
        <w:adjustRightInd w:val="0"/>
        <w:snapToGrid w:val="0"/>
        <w:spacing w:line="400" w:lineRule="exact"/>
        <w:ind w:firstLine="631"/>
        <w:rPr>
          <w:rFonts w:hint="eastAsia" w:asciiTheme="minorEastAsia" w:hAnsiTheme="minorEastAsia" w:eastAsiaTheme="minorEastAsia" w:cstheme="minorEastAsia"/>
          <w:bCs/>
          <w:sz w:val="20"/>
          <w:szCs w:val="20"/>
          <w:highlight w:val="none"/>
          <w:lang w:val="zh-CN"/>
        </w:rPr>
      </w:pPr>
      <w:r>
        <w:rPr>
          <w:rFonts w:hint="eastAsia" w:asciiTheme="minorEastAsia" w:hAnsiTheme="minorEastAsia" w:eastAsiaTheme="minorEastAsia" w:cstheme="minorEastAsia"/>
          <w:bCs/>
          <w:sz w:val="20"/>
          <w:szCs w:val="20"/>
          <w:highlight w:val="none"/>
          <w:lang w:val="zh-CN"/>
        </w:rPr>
        <w:t>1、交货地点：甲方指定地点</w:t>
      </w:r>
    </w:p>
    <w:p w14:paraId="02F07D56">
      <w:pPr>
        <w:pageBreakBefore w:val="0"/>
        <w:kinsoku/>
        <w:wordWrap/>
        <w:overflowPunct/>
        <w:topLinePunct w:val="0"/>
        <w:autoSpaceDE w:val="0"/>
        <w:autoSpaceDN w:val="0"/>
        <w:bidi w:val="0"/>
        <w:adjustRightInd w:val="0"/>
        <w:snapToGrid w:val="0"/>
        <w:spacing w:line="400" w:lineRule="exact"/>
        <w:ind w:firstLine="645"/>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2、交货期：</w:t>
      </w:r>
      <w:r>
        <w:rPr>
          <w:rFonts w:hint="eastAsia" w:asciiTheme="minorEastAsia" w:hAnsiTheme="minorEastAsia" w:eastAsiaTheme="minorEastAsia" w:cstheme="minorEastAsia"/>
          <w:color w:val="auto"/>
          <w:sz w:val="20"/>
          <w:szCs w:val="20"/>
          <w:highlight w:val="none"/>
          <w:lang w:val="zh-CN" w:eastAsia="zh-CN"/>
        </w:rPr>
        <w:t>合同签订后20</w:t>
      </w:r>
      <w:r>
        <w:rPr>
          <w:rFonts w:hint="eastAsia" w:asciiTheme="minorEastAsia" w:hAnsiTheme="minorEastAsia" w:eastAsiaTheme="minorEastAsia" w:cstheme="minorEastAsia"/>
          <w:color w:val="auto"/>
          <w:sz w:val="20"/>
          <w:szCs w:val="20"/>
          <w:highlight w:val="none"/>
          <w:lang w:val="en-US" w:eastAsia="zh-CN"/>
        </w:rPr>
        <w:t>26</w:t>
      </w:r>
      <w:r>
        <w:rPr>
          <w:rFonts w:hint="eastAsia" w:asciiTheme="minorEastAsia" w:hAnsiTheme="minorEastAsia" w:eastAsiaTheme="minorEastAsia" w:cstheme="minorEastAsia"/>
          <w:color w:val="auto"/>
          <w:sz w:val="20"/>
          <w:szCs w:val="20"/>
          <w:highlight w:val="none"/>
          <w:lang w:val="zh-CN" w:eastAsia="zh-CN"/>
        </w:rPr>
        <w:t>年6月</w:t>
      </w:r>
      <w:r>
        <w:rPr>
          <w:rFonts w:hint="eastAsia" w:asciiTheme="minorEastAsia" w:hAnsiTheme="minorEastAsia" w:eastAsiaTheme="minorEastAsia" w:cstheme="minorEastAsia"/>
          <w:color w:val="auto"/>
          <w:sz w:val="20"/>
          <w:szCs w:val="20"/>
          <w:highlight w:val="none"/>
          <w:lang w:val="en-US" w:eastAsia="zh-CN"/>
        </w:rPr>
        <w:t>1</w:t>
      </w:r>
      <w:r>
        <w:rPr>
          <w:rFonts w:hint="eastAsia" w:asciiTheme="minorEastAsia" w:hAnsiTheme="minorEastAsia" w:eastAsiaTheme="minorEastAsia" w:cstheme="minorEastAsia"/>
          <w:color w:val="auto"/>
          <w:sz w:val="20"/>
          <w:szCs w:val="20"/>
          <w:highlight w:val="none"/>
          <w:lang w:val="zh-CN" w:eastAsia="zh-CN"/>
        </w:rPr>
        <w:t>日前完成供货</w:t>
      </w:r>
      <w:r>
        <w:rPr>
          <w:rFonts w:hint="eastAsia" w:asciiTheme="minorEastAsia" w:hAnsiTheme="minorEastAsia" w:eastAsiaTheme="minorEastAsia" w:cstheme="minorEastAsia"/>
          <w:color w:val="auto"/>
          <w:sz w:val="20"/>
          <w:szCs w:val="20"/>
          <w:highlight w:val="none"/>
          <w:lang w:val="en-US" w:eastAsia="zh-CN"/>
        </w:rPr>
        <w:t>。</w:t>
      </w:r>
    </w:p>
    <w:p w14:paraId="534BC1D4">
      <w:pPr>
        <w:pStyle w:val="3"/>
        <w:pageBreakBefore w:val="0"/>
        <w:kinsoku/>
        <w:wordWrap/>
        <w:overflowPunct/>
        <w:topLinePunct w:val="0"/>
        <w:bidi w:val="0"/>
        <w:spacing w:line="400" w:lineRule="exact"/>
        <w:rPr>
          <w:rFonts w:hint="eastAsia" w:asciiTheme="minorEastAsia" w:hAnsiTheme="minorEastAsia" w:eastAsiaTheme="minorEastAsia" w:cstheme="minorEastAsia"/>
          <w:b w:val="0"/>
          <w:bCs/>
          <w:kern w:val="2"/>
          <w:sz w:val="20"/>
          <w:szCs w:val="20"/>
          <w:highlight w:val="none"/>
          <w:lang w:val="zh-CN" w:eastAsia="zh-CN" w:bidi="ar-SA"/>
        </w:rPr>
      </w:pPr>
      <w:bookmarkStart w:id="8" w:name="_Toc9437"/>
      <w:bookmarkStart w:id="9" w:name="_Toc1926"/>
      <w:r>
        <w:rPr>
          <w:rFonts w:hint="eastAsia" w:asciiTheme="minorEastAsia" w:hAnsiTheme="minorEastAsia" w:eastAsiaTheme="minorEastAsia" w:cstheme="minorEastAsia"/>
          <w:sz w:val="20"/>
          <w:szCs w:val="20"/>
          <w:highlight w:val="none"/>
          <w:lang w:val="zh-CN"/>
        </w:rPr>
        <w:t>五、运输：</w:t>
      </w:r>
      <w:bookmarkEnd w:id="8"/>
      <w:bookmarkEnd w:id="9"/>
    </w:p>
    <w:p w14:paraId="4FC6BC2B">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1、乙方负责所有货物的运输。确保货物安全、完整到达使用地点，运杂费用包含在总价内，包括货物从供货地点到使用地点的运输费、保险费、搬运费等。</w:t>
      </w:r>
    </w:p>
    <w:p w14:paraId="6A503DE8">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000000"/>
          <w:sz w:val="20"/>
          <w:szCs w:val="20"/>
          <w:highlight w:val="none"/>
        </w:rPr>
        <w:t>2、所有货物在运输、搬运、安装、拆除、改造的过程中，造成甲方损失的，由乙方为甲方修复或更新。</w:t>
      </w:r>
    </w:p>
    <w:p w14:paraId="3B0322AF">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10" w:name="_Toc25630"/>
      <w:bookmarkStart w:id="11" w:name="_Toc7164"/>
      <w:r>
        <w:rPr>
          <w:rFonts w:hint="eastAsia" w:asciiTheme="minorEastAsia" w:hAnsiTheme="minorEastAsia" w:eastAsiaTheme="minorEastAsia" w:cstheme="minorEastAsia"/>
          <w:sz w:val="20"/>
          <w:szCs w:val="20"/>
          <w:highlight w:val="none"/>
          <w:lang w:val="zh-CN"/>
        </w:rPr>
        <w:t>六、质量保证：</w:t>
      </w:r>
      <w:bookmarkEnd w:id="10"/>
      <w:bookmarkEnd w:id="11"/>
    </w:p>
    <w:p w14:paraId="64049837">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1、乙方提供货物必须是原品牌制造厂制造的最新工艺、生产的最新产品。</w:t>
      </w:r>
    </w:p>
    <w:p w14:paraId="313092D2">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2、所供货物必须是经过办理正常手续的全新产品。</w:t>
      </w:r>
    </w:p>
    <w:p w14:paraId="78692D16">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3、所供货物是经过国家法定检验、注册、准许市场销售的合法产品。</w:t>
      </w:r>
    </w:p>
    <w:p w14:paraId="201333F8">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4、货物性能稳定、具有较好的使用效果，质量保证措施完善，符合国家相关标准。</w:t>
      </w:r>
    </w:p>
    <w:p w14:paraId="230A33A8">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w:t>
      </w:r>
      <w:r>
        <w:rPr>
          <w:rFonts w:hint="eastAsia" w:asciiTheme="minorEastAsia" w:hAnsiTheme="minorEastAsia" w:eastAsiaTheme="minorEastAsia" w:cstheme="minorEastAsia"/>
          <w:kern w:val="2"/>
          <w:sz w:val="20"/>
          <w:szCs w:val="20"/>
          <w:highlight w:val="none"/>
          <w:lang w:val="zh-CN" w:eastAsia="zh-CN" w:bidi="ar-SA"/>
        </w:rPr>
        <w:t>质保期为验收合格后一年</w:t>
      </w:r>
      <w:r>
        <w:rPr>
          <w:rFonts w:hint="eastAsia" w:asciiTheme="minorEastAsia" w:hAnsiTheme="minorEastAsia" w:eastAsiaTheme="minorEastAsia" w:cstheme="minorEastAsia"/>
          <w:sz w:val="20"/>
          <w:szCs w:val="20"/>
          <w:highlight w:val="none"/>
        </w:rPr>
        <w:t>，质保期内维保标准不得低于国家标准及相关规定，如超过</w:t>
      </w: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rPr>
        <w:t>年，则按供应商承诺执行，并在合同签订过程中明确。</w:t>
      </w:r>
    </w:p>
    <w:p w14:paraId="2F731DB9">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6、包装要求</w:t>
      </w:r>
    </w:p>
    <w:p w14:paraId="4F584554">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000000"/>
          <w:sz w:val="20"/>
          <w:szCs w:val="20"/>
          <w:highlight w:val="none"/>
        </w:rPr>
        <w:t>6-1、除合同另有规定外，乙方提供的全部货物，均应按标准保护措施进行包装，并确保货物安全</w:t>
      </w:r>
      <w:r>
        <w:rPr>
          <w:rFonts w:hint="eastAsia" w:asciiTheme="minorEastAsia" w:hAnsiTheme="minorEastAsia" w:eastAsiaTheme="minorEastAsia" w:cstheme="minorEastAsia"/>
          <w:sz w:val="20"/>
          <w:szCs w:val="20"/>
          <w:highlight w:val="none"/>
        </w:rPr>
        <w:t>无损运抵甲方指定地点。</w:t>
      </w:r>
    </w:p>
    <w:p w14:paraId="66D87A0C">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6-2、每一个包装箱内应附一份详细装箱单和质量合格证。</w:t>
      </w:r>
    </w:p>
    <w:p w14:paraId="7273FF68">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7、知识产权：乙方应保证甲方在使用该货物或其任何一部分时免受第三方提出侵犯其专利权、商标权或工业设计权的起诉。</w:t>
      </w:r>
    </w:p>
    <w:p w14:paraId="60857E40">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12" w:name="_Toc20761"/>
      <w:bookmarkStart w:id="13" w:name="_Toc26330"/>
      <w:r>
        <w:rPr>
          <w:rFonts w:hint="eastAsia" w:asciiTheme="minorEastAsia" w:hAnsiTheme="minorEastAsia" w:eastAsiaTheme="minorEastAsia" w:cstheme="minorEastAsia"/>
          <w:sz w:val="20"/>
          <w:szCs w:val="20"/>
          <w:highlight w:val="none"/>
          <w:lang w:val="zh-CN"/>
        </w:rPr>
        <w:t>七、技术服务：</w:t>
      </w:r>
      <w:bookmarkEnd w:id="12"/>
      <w:bookmarkEnd w:id="13"/>
    </w:p>
    <w:p w14:paraId="10FFAE47">
      <w:pPr>
        <w:pageBreakBefore w:val="0"/>
        <w:kinsoku/>
        <w:wordWrap/>
        <w:overflowPunct/>
        <w:topLinePunct w:val="0"/>
        <w:bidi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1、对技术服务的要求：乙方应随同货物提供相应的中文技术文件(包括产品合格证、装箱、清单、操作手册、使用说明。检测报告、维护手册、服务指南等资料)，现场安装、调试、试运行技术保障服务。</w:t>
      </w:r>
    </w:p>
    <w:p w14:paraId="5642D2DC">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2、技术资料：</w:t>
      </w:r>
    </w:p>
    <w:p w14:paraId="71EFCC1E">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2-1、产品合格证及检验报告；</w:t>
      </w:r>
    </w:p>
    <w:p w14:paraId="20A5987B">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2-2、产品使用说明书（中文）；</w:t>
      </w:r>
    </w:p>
    <w:p w14:paraId="33A9E120">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2-3、其他技术资料。</w:t>
      </w:r>
    </w:p>
    <w:p w14:paraId="5C9FB7C6">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3、售后服务</w:t>
      </w:r>
    </w:p>
    <w:p w14:paraId="227A8F38">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sz w:val="20"/>
          <w:szCs w:val="20"/>
          <w:highlight w:val="none"/>
        </w:rPr>
        <w:t>3-1、</w:t>
      </w:r>
      <w:r>
        <w:rPr>
          <w:rFonts w:hint="eastAsia" w:asciiTheme="minorEastAsia" w:hAnsiTheme="minorEastAsia" w:eastAsiaTheme="minorEastAsia" w:cstheme="minorEastAsia"/>
          <w:color w:val="000000"/>
          <w:sz w:val="20"/>
          <w:szCs w:val="20"/>
          <w:highlight w:val="none"/>
        </w:rPr>
        <w:t>质保期内维保标准不得低于国家标准及相关规定。</w:t>
      </w:r>
    </w:p>
    <w:p w14:paraId="015F6590">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3-2、如果乙方在收到通知后2天内没有弥补缺陷，甲方可采取必要的补救措施，但其风险和费用将由乙方承担，甲方根据合同规定对乙方行使的其它权力不受影响。甲方亦可从合同价款中扣回索赔金额。</w:t>
      </w:r>
    </w:p>
    <w:p w14:paraId="2E964701">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4、伴随服务</w:t>
      </w:r>
    </w:p>
    <w:p w14:paraId="39BC020E">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4-1、乙方应提供相应的中文的技术文件。</w:t>
      </w:r>
    </w:p>
    <w:p w14:paraId="4E540202">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4-2、必须的其它技术资料。</w:t>
      </w:r>
    </w:p>
    <w:p w14:paraId="2F544BC5">
      <w:pPr>
        <w:pageBreakBefore w:val="0"/>
        <w:kinsoku/>
        <w:wordWrap/>
        <w:overflowPunct/>
        <w:topLinePunct w:val="0"/>
        <w:bidi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4-3、伴随服务的费用已含在合同价中，不单独进行支付。</w:t>
      </w:r>
    </w:p>
    <w:p w14:paraId="6FE54C8A">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14" w:name="_Toc13698"/>
      <w:bookmarkStart w:id="15" w:name="_Toc28234"/>
      <w:r>
        <w:rPr>
          <w:rFonts w:hint="eastAsia" w:asciiTheme="minorEastAsia" w:hAnsiTheme="minorEastAsia" w:eastAsiaTheme="minorEastAsia" w:cstheme="minorEastAsia"/>
          <w:sz w:val="20"/>
          <w:szCs w:val="20"/>
          <w:highlight w:val="none"/>
          <w:lang w:val="zh-CN"/>
        </w:rPr>
        <w:t>八、验收：</w:t>
      </w:r>
      <w:bookmarkEnd w:id="14"/>
      <w:bookmarkEnd w:id="15"/>
    </w:p>
    <w:p w14:paraId="6CD122D8">
      <w:pPr>
        <w:pageBreakBefore w:val="0"/>
        <w:kinsoku/>
        <w:wordWrap/>
        <w:overflowPunct/>
        <w:topLinePunct w:val="0"/>
        <w:bidi w:val="0"/>
        <w:spacing w:line="400" w:lineRule="exact"/>
        <w:ind w:firstLine="400" w:firstLineChars="200"/>
        <w:rPr>
          <w:rFonts w:hint="eastAsia" w:asciiTheme="minorEastAsia" w:hAnsiTheme="minorEastAsia" w:eastAsiaTheme="minorEastAsia" w:cstheme="minorEastAsia"/>
          <w:color w:val="000000"/>
          <w:sz w:val="20"/>
          <w:szCs w:val="20"/>
          <w:highlight w:val="none"/>
        </w:rPr>
      </w:pPr>
      <w:r>
        <w:rPr>
          <w:rFonts w:hint="eastAsia" w:asciiTheme="minorEastAsia" w:hAnsiTheme="minorEastAsia" w:eastAsiaTheme="minorEastAsia" w:cstheme="minorEastAsia"/>
          <w:color w:val="000000"/>
          <w:sz w:val="20"/>
          <w:szCs w:val="20"/>
          <w:highlight w:val="none"/>
        </w:rPr>
        <w:t xml:space="preserve">  1、通过检验的货物方可进行安装、调试、达到使用条件时由采购单位负责组织验收，或者邀请有关专家、质检机构、采购代理机构共同进行验收；验收合格须交接项目实施的全部资料，并填写政府采购项目验收报告单。验收须以合同、</w:t>
      </w:r>
      <w:r>
        <w:rPr>
          <w:rFonts w:hint="eastAsia" w:asciiTheme="minorEastAsia" w:hAnsiTheme="minorEastAsia" w:eastAsiaTheme="minorEastAsia" w:cstheme="minorEastAsia"/>
          <w:color w:val="000000"/>
          <w:sz w:val="20"/>
          <w:szCs w:val="20"/>
          <w:highlight w:val="none"/>
          <w:lang w:eastAsia="zh-CN"/>
        </w:rPr>
        <w:t>招标</w:t>
      </w:r>
      <w:r>
        <w:rPr>
          <w:rFonts w:hint="eastAsia" w:asciiTheme="minorEastAsia" w:hAnsiTheme="minorEastAsia" w:eastAsiaTheme="minorEastAsia" w:cstheme="minorEastAsia"/>
          <w:color w:val="000000"/>
          <w:sz w:val="20"/>
          <w:szCs w:val="20"/>
          <w:highlight w:val="none"/>
        </w:rPr>
        <w:t>文件及</w:t>
      </w:r>
      <w:r>
        <w:rPr>
          <w:rFonts w:hint="eastAsia" w:asciiTheme="minorEastAsia" w:hAnsiTheme="minorEastAsia" w:eastAsiaTheme="minorEastAsia" w:cstheme="minorEastAsia"/>
          <w:color w:val="000000"/>
          <w:sz w:val="20"/>
          <w:szCs w:val="20"/>
          <w:highlight w:val="none"/>
          <w:lang w:eastAsia="zh-CN"/>
        </w:rPr>
        <w:t>投标</w:t>
      </w:r>
      <w:r>
        <w:rPr>
          <w:rFonts w:hint="eastAsia" w:asciiTheme="minorEastAsia" w:hAnsiTheme="minorEastAsia" w:eastAsiaTheme="minorEastAsia" w:cstheme="minorEastAsia"/>
          <w:color w:val="000000"/>
          <w:sz w:val="20"/>
          <w:szCs w:val="20"/>
          <w:highlight w:val="none"/>
        </w:rPr>
        <w:t>文件、澄清、及国家相应的标准、规范等为依据。</w:t>
      </w:r>
    </w:p>
    <w:p w14:paraId="348E049F">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color w:val="000000"/>
          <w:sz w:val="20"/>
          <w:szCs w:val="20"/>
          <w:highlight w:val="none"/>
        </w:rPr>
        <w:t>3、质保期满后：由乙方出具质保期运行质量报告，若存在质量问题，应按相应规定协商处理。</w:t>
      </w:r>
    </w:p>
    <w:p w14:paraId="5CFFEA63">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4、验收依据：</w:t>
      </w:r>
    </w:p>
    <w:p w14:paraId="53B69BBC">
      <w:pPr>
        <w:pageBreakBefore w:val="0"/>
        <w:kinsoku/>
        <w:wordWrap/>
        <w:overflowPunct/>
        <w:topLinePunct w:val="0"/>
        <w:bidi w:val="0"/>
        <w:adjustRightInd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4-1、合同文本、合同附件、</w:t>
      </w:r>
      <w:r>
        <w:rPr>
          <w:rFonts w:hint="eastAsia" w:asciiTheme="minorEastAsia" w:hAnsiTheme="minorEastAsia" w:eastAsiaTheme="minorEastAsia" w:cstheme="minorEastAsia"/>
          <w:sz w:val="20"/>
          <w:szCs w:val="20"/>
          <w:highlight w:val="none"/>
          <w:lang w:eastAsia="zh-CN"/>
        </w:rPr>
        <w:t>招标</w:t>
      </w:r>
      <w:r>
        <w:rPr>
          <w:rFonts w:hint="eastAsia" w:asciiTheme="minorEastAsia" w:hAnsiTheme="minorEastAsia" w:eastAsiaTheme="minorEastAsia" w:cstheme="minorEastAsia"/>
          <w:sz w:val="20"/>
          <w:szCs w:val="20"/>
          <w:highlight w:val="none"/>
        </w:rPr>
        <w:t>文件、</w:t>
      </w:r>
      <w:r>
        <w:rPr>
          <w:rFonts w:hint="eastAsia" w:asciiTheme="minorEastAsia" w:hAnsiTheme="minorEastAsia" w:eastAsiaTheme="minorEastAsia" w:cstheme="minorEastAsia"/>
          <w:sz w:val="20"/>
          <w:szCs w:val="20"/>
          <w:highlight w:val="none"/>
          <w:lang w:eastAsia="zh-CN"/>
        </w:rPr>
        <w:t>投标</w:t>
      </w:r>
      <w:r>
        <w:rPr>
          <w:rFonts w:hint="eastAsia" w:asciiTheme="minorEastAsia" w:hAnsiTheme="minorEastAsia" w:eastAsiaTheme="minorEastAsia" w:cstheme="minorEastAsia"/>
          <w:sz w:val="20"/>
          <w:szCs w:val="20"/>
          <w:highlight w:val="none"/>
        </w:rPr>
        <w:t>文件。</w:t>
      </w:r>
    </w:p>
    <w:p w14:paraId="724150F1">
      <w:pPr>
        <w:pageBreakBefore w:val="0"/>
        <w:kinsoku/>
        <w:wordWrap/>
        <w:overflowPunct/>
        <w:topLinePunct w:val="0"/>
        <w:bidi w:val="0"/>
        <w:snapToGrid w:val="0"/>
        <w:spacing w:line="400" w:lineRule="exact"/>
        <w:ind w:right="893"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4-2、国内相应的标准、规范。</w:t>
      </w:r>
    </w:p>
    <w:p w14:paraId="67665045">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16" w:name="_Toc23939"/>
      <w:bookmarkStart w:id="17" w:name="_Toc17276"/>
      <w:r>
        <w:rPr>
          <w:rFonts w:hint="eastAsia" w:asciiTheme="minorEastAsia" w:hAnsiTheme="minorEastAsia" w:eastAsiaTheme="minorEastAsia" w:cstheme="minorEastAsia"/>
          <w:sz w:val="20"/>
          <w:szCs w:val="20"/>
          <w:highlight w:val="none"/>
          <w:lang w:val="zh-CN"/>
        </w:rPr>
        <w:t>九、违约责任：</w:t>
      </w:r>
      <w:bookmarkEnd w:id="16"/>
      <w:bookmarkEnd w:id="17"/>
    </w:p>
    <w:p w14:paraId="0FFBC75A">
      <w:pPr>
        <w:pageBreakBefore w:val="0"/>
        <w:kinsoku/>
        <w:wordWrap/>
        <w:overflowPunct/>
        <w:topLinePunct w:val="0"/>
        <w:bidi w:val="0"/>
        <w:adjustRightInd w:val="0"/>
        <w:snapToGrid w:val="0"/>
        <w:spacing w:line="400" w:lineRule="exact"/>
        <w:ind w:firstLine="400"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1、按《</w:t>
      </w:r>
      <w:r>
        <w:rPr>
          <w:rFonts w:hint="eastAsia" w:asciiTheme="minorEastAsia" w:hAnsiTheme="minorEastAsia" w:eastAsiaTheme="minorEastAsia" w:cstheme="minorEastAsia"/>
          <w:sz w:val="20"/>
          <w:szCs w:val="20"/>
          <w:highlight w:val="none"/>
          <w:lang w:val="en-US" w:eastAsia="zh-CN"/>
        </w:rPr>
        <w:t>中华人民共和国民法典</w:t>
      </w:r>
      <w:r>
        <w:rPr>
          <w:rFonts w:hint="eastAsia" w:asciiTheme="minorEastAsia" w:hAnsiTheme="minorEastAsia" w:eastAsiaTheme="minorEastAsia" w:cstheme="minorEastAsia"/>
          <w:sz w:val="20"/>
          <w:szCs w:val="20"/>
          <w:highlight w:val="none"/>
        </w:rPr>
        <w:t>》中的相关条款执行。</w:t>
      </w:r>
    </w:p>
    <w:p w14:paraId="162084D3">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2、本合同履行期间，如乙方未能按照本合同约定完成相应目标成效要求，甲方有权视乙方违约情况决定是否单方解除本合同，并要求乙方赔偿甲方损失。</w:t>
      </w:r>
    </w:p>
    <w:p w14:paraId="5C73737C">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3、除本合同另有约定或因不可抗力情形之外，任何一方因违反本合同项下的任何义务或保证与承诺不实的，即构成违约，应向对方承担违约责任，赔偿因违反合同而给对方造成的全部实际产生的直接经济损失。</w:t>
      </w:r>
    </w:p>
    <w:p w14:paraId="5E05E698">
      <w:pPr>
        <w:pageBreakBefore w:val="0"/>
        <w:kinsoku/>
        <w:wordWrap/>
        <w:overflowPunct/>
        <w:topLinePunct w:val="0"/>
        <w:bidi w:val="0"/>
        <w:adjustRightInd w:val="0"/>
        <w:snapToGrid w:val="0"/>
        <w:spacing w:line="400" w:lineRule="exact"/>
        <w:ind w:firstLine="645"/>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4、违约终止合同：未按合同要求提供货物或质量不能满足技术要求，甲方会同监督机构有权终止合同，对乙方违约行为进行追究，同时按政府采购法的有关规定进行相应的处罚。</w:t>
      </w:r>
    </w:p>
    <w:p w14:paraId="6F394D75">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18" w:name="_Toc21667"/>
      <w:bookmarkStart w:id="19" w:name="_Toc8686"/>
      <w:r>
        <w:rPr>
          <w:rFonts w:hint="eastAsia" w:asciiTheme="minorEastAsia" w:hAnsiTheme="minorEastAsia" w:eastAsiaTheme="minorEastAsia" w:cstheme="minorEastAsia"/>
          <w:sz w:val="20"/>
          <w:szCs w:val="20"/>
          <w:highlight w:val="none"/>
          <w:lang w:val="zh-CN"/>
        </w:rPr>
        <w:t>十、合同组成：</w:t>
      </w:r>
      <w:bookmarkEnd w:id="18"/>
      <w:bookmarkEnd w:id="19"/>
    </w:p>
    <w:p w14:paraId="2A7432FF">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1、</w:t>
      </w:r>
      <w:r>
        <w:rPr>
          <w:rFonts w:hint="eastAsia" w:asciiTheme="minorEastAsia" w:hAnsiTheme="minorEastAsia" w:eastAsiaTheme="minorEastAsia" w:cstheme="minorEastAsia"/>
          <w:sz w:val="20"/>
          <w:szCs w:val="20"/>
          <w:highlight w:val="none"/>
          <w:lang w:eastAsia="zh-CN"/>
        </w:rPr>
        <w:t>中标</w:t>
      </w:r>
      <w:r>
        <w:rPr>
          <w:rFonts w:hint="eastAsia" w:asciiTheme="minorEastAsia" w:hAnsiTheme="minorEastAsia" w:eastAsiaTheme="minorEastAsia" w:cstheme="minorEastAsia"/>
          <w:sz w:val="20"/>
          <w:szCs w:val="20"/>
          <w:highlight w:val="none"/>
        </w:rPr>
        <w:t>通知书</w:t>
      </w:r>
    </w:p>
    <w:p w14:paraId="5EFD1C37">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2、合同文件</w:t>
      </w:r>
    </w:p>
    <w:p w14:paraId="379CE08B">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3、国家相关规范及标准</w:t>
      </w:r>
    </w:p>
    <w:p w14:paraId="337BBC81">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4、供货设备技术规格及参数表</w:t>
      </w:r>
    </w:p>
    <w:p w14:paraId="62AC1E21">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5、</w:t>
      </w:r>
      <w:r>
        <w:rPr>
          <w:rFonts w:hint="eastAsia" w:asciiTheme="minorEastAsia" w:hAnsiTheme="minorEastAsia" w:eastAsiaTheme="minorEastAsia" w:cstheme="minorEastAsia"/>
          <w:sz w:val="20"/>
          <w:szCs w:val="20"/>
          <w:highlight w:val="none"/>
          <w:lang w:eastAsia="zh-CN"/>
        </w:rPr>
        <w:t>招标</w:t>
      </w:r>
      <w:r>
        <w:rPr>
          <w:rFonts w:hint="eastAsia" w:asciiTheme="minorEastAsia" w:hAnsiTheme="minorEastAsia" w:eastAsiaTheme="minorEastAsia" w:cstheme="minorEastAsia"/>
          <w:sz w:val="20"/>
          <w:szCs w:val="20"/>
          <w:highlight w:val="none"/>
        </w:rPr>
        <w:t>文件</w:t>
      </w:r>
    </w:p>
    <w:p w14:paraId="56458869">
      <w:pPr>
        <w:pageBreakBefore w:val="0"/>
        <w:kinsoku/>
        <w:wordWrap/>
        <w:overflowPunct/>
        <w:topLinePunct w:val="0"/>
        <w:bidi w:val="0"/>
        <w:adjustRightInd w:val="0"/>
        <w:snapToGrid w:val="0"/>
        <w:spacing w:line="400" w:lineRule="exact"/>
        <w:ind w:firstLine="401" w:firstLineChars="201"/>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6、</w:t>
      </w:r>
      <w:r>
        <w:rPr>
          <w:rFonts w:hint="eastAsia" w:asciiTheme="minorEastAsia" w:hAnsiTheme="minorEastAsia" w:eastAsiaTheme="minorEastAsia" w:cstheme="minorEastAsia"/>
          <w:sz w:val="20"/>
          <w:szCs w:val="20"/>
          <w:highlight w:val="none"/>
          <w:lang w:eastAsia="zh-CN"/>
        </w:rPr>
        <w:t>投标</w:t>
      </w:r>
      <w:r>
        <w:rPr>
          <w:rFonts w:hint="eastAsia" w:asciiTheme="minorEastAsia" w:hAnsiTheme="minorEastAsia" w:eastAsiaTheme="minorEastAsia" w:cstheme="minorEastAsia"/>
          <w:sz w:val="20"/>
          <w:szCs w:val="20"/>
          <w:highlight w:val="none"/>
        </w:rPr>
        <w:t>文件</w:t>
      </w:r>
    </w:p>
    <w:p w14:paraId="73A3DFB6">
      <w:pPr>
        <w:pStyle w:val="3"/>
        <w:pageBreakBefore w:val="0"/>
        <w:kinsoku/>
        <w:wordWrap/>
        <w:overflowPunct/>
        <w:topLinePunct w:val="0"/>
        <w:bidi w:val="0"/>
        <w:spacing w:line="400" w:lineRule="exact"/>
        <w:rPr>
          <w:rFonts w:hint="eastAsia" w:asciiTheme="minorEastAsia" w:hAnsiTheme="minorEastAsia" w:eastAsiaTheme="minorEastAsia" w:cstheme="minorEastAsia"/>
          <w:sz w:val="20"/>
          <w:szCs w:val="20"/>
          <w:highlight w:val="none"/>
          <w:lang w:val="zh-CN"/>
        </w:rPr>
      </w:pPr>
      <w:bookmarkStart w:id="20" w:name="_Toc27099"/>
      <w:bookmarkStart w:id="21" w:name="_Toc30300"/>
      <w:r>
        <w:rPr>
          <w:rFonts w:hint="eastAsia" w:asciiTheme="minorEastAsia" w:hAnsiTheme="minorEastAsia" w:eastAsiaTheme="minorEastAsia" w:cstheme="minorEastAsia"/>
          <w:sz w:val="20"/>
          <w:szCs w:val="20"/>
          <w:highlight w:val="none"/>
          <w:lang w:val="zh-CN"/>
        </w:rPr>
        <w:t>十一、合同生效及其它：</w:t>
      </w:r>
      <w:bookmarkEnd w:id="20"/>
      <w:bookmarkEnd w:id="21"/>
    </w:p>
    <w:p w14:paraId="5DA514D2">
      <w:pPr>
        <w:pageBreakBefore w:val="0"/>
        <w:widowControl/>
        <w:kinsoku/>
        <w:wordWrap/>
        <w:overflowPunct/>
        <w:topLinePunct w:val="0"/>
        <w:autoSpaceDE w:val="0"/>
        <w:autoSpaceDN w:val="0"/>
        <w:bidi w:val="0"/>
        <w:snapToGrid w:val="0"/>
        <w:spacing w:line="400" w:lineRule="exact"/>
        <w:ind w:right="-110" w:firstLine="400" w:firstLineChars="200"/>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1、合同未尽事宜、由甲、乙双方协商，作为合同补充，与原合同具有同等法律效力。</w:t>
      </w:r>
    </w:p>
    <w:p w14:paraId="0294854F">
      <w:pPr>
        <w:pageBreakBefore w:val="0"/>
        <w:widowControl/>
        <w:tabs>
          <w:tab w:val="left" w:pos="8391"/>
        </w:tabs>
        <w:kinsoku/>
        <w:wordWrap/>
        <w:overflowPunct/>
        <w:topLinePunct w:val="0"/>
        <w:autoSpaceDE w:val="0"/>
        <w:autoSpaceDN w:val="0"/>
        <w:bidi w:val="0"/>
        <w:snapToGrid w:val="0"/>
        <w:spacing w:line="400" w:lineRule="exact"/>
        <w:ind w:right="-69" w:firstLine="400" w:firstLineChars="200"/>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2、本合同正本一式</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份，甲方、乙方双方分别执</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u w:val="single"/>
          <w:lang w:val="en-US" w:eastAsia="zh-CN"/>
        </w:rPr>
        <w:t xml:space="preserve"> </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份。</w:t>
      </w:r>
    </w:p>
    <w:p w14:paraId="06206235">
      <w:pPr>
        <w:pageBreakBefore w:val="0"/>
        <w:widowControl/>
        <w:tabs>
          <w:tab w:val="left" w:pos="8391"/>
        </w:tabs>
        <w:kinsoku/>
        <w:wordWrap/>
        <w:overflowPunct/>
        <w:topLinePunct w:val="0"/>
        <w:autoSpaceDE w:val="0"/>
        <w:autoSpaceDN w:val="0"/>
        <w:bidi w:val="0"/>
        <w:snapToGrid w:val="0"/>
        <w:spacing w:line="400" w:lineRule="exact"/>
        <w:ind w:right="-69" w:firstLine="400" w:firstLineChars="200"/>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3、合同经甲乙双方盖章、签字后生效，合同签订地点为</w:t>
      </w:r>
      <w:r>
        <w:rPr>
          <w:rFonts w:hint="eastAsia" w:asciiTheme="minorEastAsia" w:hAnsiTheme="minorEastAsia" w:eastAsiaTheme="minorEastAsia" w:cstheme="minorEastAsia"/>
          <w:kern w:val="0"/>
          <w:sz w:val="20"/>
          <w:szCs w:val="20"/>
          <w:highlight w:val="none"/>
          <w:u w:val="single"/>
        </w:rPr>
        <w:t xml:space="preserve">   </w:t>
      </w:r>
      <w:r>
        <w:rPr>
          <w:rFonts w:hint="eastAsia" w:asciiTheme="minorEastAsia" w:hAnsiTheme="minorEastAsia" w:eastAsiaTheme="minorEastAsia" w:cstheme="minorEastAsia"/>
          <w:kern w:val="0"/>
          <w:sz w:val="20"/>
          <w:szCs w:val="20"/>
          <w:highlight w:val="none"/>
        </w:rPr>
        <w:t>。</w:t>
      </w:r>
    </w:p>
    <w:p w14:paraId="30D8CAD9">
      <w:pPr>
        <w:pageBreakBefore w:val="0"/>
        <w:widowControl/>
        <w:tabs>
          <w:tab w:val="left" w:pos="8391"/>
        </w:tabs>
        <w:kinsoku/>
        <w:wordWrap/>
        <w:overflowPunct/>
        <w:topLinePunct w:val="0"/>
        <w:autoSpaceDE w:val="0"/>
        <w:autoSpaceDN w:val="0"/>
        <w:bidi w:val="0"/>
        <w:snapToGrid w:val="0"/>
        <w:spacing w:line="400" w:lineRule="exact"/>
        <w:ind w:right="-69" w:firstLine="400" w:firstLineChars="200"/>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4、生效时间：    年  月  日</w:t>
      </w:r>
    </w:p>
    <w:p w14:paraId="7B84C192">
      <w:pPr>
        <w:widowControl/>
        <w:tabs>
          <w:tab w:val="left" w:pos="8391"/>
        </w:tabs>
        <w:autoSpaceDE w:val="0"/>
        <w:autoSpaceDN w:val="0"/>
        <w:snapToGrid w:val="0"/>
        <w:spacing w:line="360" w:lineRule="auto"/>
        <w:ind w:right="-69" w:firstLine="700" w:firstLineChars="350"/>
        <w:textAlignment w:val="bottom"/>
        <w:rPr>
          <w:rFonts w:hint="eastAsia" w:asciiTheme="minorEastAsia" w:hAnsiTheme="minorEastAsia" w:eastAsiaTheme="minorEastAsia" w:cstheme="minorEastAsia"/>
          <w:kern w:val="0"/>
          <w:sz w:val="20"/>
          <w:szCs w:val="20"/>
          <w:highlight w:val="none"/>
        </w:rPr>
      </w:pPr>
    </w:p>
    <w:tbl>
      <w:tblPr>
        <w:tblStyle w:val="7"/>
        <w:tblW w:w="9286" w:type="dxa"/>
        <w:jc w:val="center"/>
        <w:tblLayout w:type="fixed"/>
        <w:tblCellMar>
          <w:top w:w="0" w:type="dxa"/>
          <w:left w:w="108" w:type="dxa"/>
          <w:bottom w:w="0" w:type="dxa"/>
          <w:right w:w="108" w:type="dxa"/>
        </w:tblCellMar>
      </w:tblPr>
      <w:tblGrid>
        <w:gridCol w:w="4643"/>
        <w:gridCol w:w="4643"/>
      </w:tblGrid>
      <w:tr w14:paraId="0DD13D45">
        <w:tblPrEx>
          <w:tblCellMar>
            <w:top w:w="0" w:type="dxa"/>
            <w:left w:w="108" w:type="dxa"/>
            <w:bottom w:w="0" w:type="dxa"/>
            <w:right w:w="108" w:type="dxa"/>
          </w:tblCellMar>
        </w:tblPrEx>
        <w:trPr>
          <w:jc w:val="center"/>
        </w:trPr>
        <w:tc>
          <w:tcPr>
            <w:tcW w:w="4643" w:type="dxa"/>
            <w:vAlign w:val="top"/>
          </w:tcPr>
          <w:p w14:paraId="2ED032C7">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甲方名称</w:t>
            </w:r>
            <w:r>
              <w:rPr>
                <w:rFonts w:hint="eastAsia" w:asciiTheme="minorEastAsia" w:hAnsiTheme="minorEastAsia" w:eastAsiaTheme="minorEastAsia" w:cstheme="minorEastAsia"/>
                <w:spacing w:val="-20"/>
                <w:kern w:val="0"/>
                <w:sz w:val="20"/>
                <w:szCs w:val="20"/>
                <w:highlight w:val="none"/>
              </w:rPr>
              <w:t>（盖章）</w:t>
            </w:r>
            <w:r>
              <w:rPr>
                <w:rFonts w:hint="eastAsia" w:asciiTheme="minorEastAsia" w:hAnsiTheme="minorEastAsia" w:eastAsiaTheme="minorEastAsia" w:cstheme="minorEastAsia"/>
                <w:kern w:val="0"/>
                <w:sz w:val="20"/>
                <w:szCs w:val="20"/>
                <w:highlight w:val="none"/>
              </w:rPr>
              <w:t>:</w:t>
            </w:r>
          </w:p>
          <w:p w14:paraId="41031692">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地址：</w:t>
            </w:r>
          </w:p>
          <w:p w14:paraId="7E99335C">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代表人（签字）：</w:t>
            </w:r>
          </w:p>
          <w:p w14:paraId="1AFD54B0">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电话：</w:t>
            </w:r>
          </w:p>
          <w:p w14:paraId="3E1726C9">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开户银行：</w:t>
            </w:r>
          </w:p>
          <w:p w14:paraId="3CDBAD8E">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帐号：</w:t>
            </w:r>
          </w:p>
        </w:tc>
        <w:tc>
          <w:tcPr>
            <w:tcW w:w="4643" w:type="dxa"/>
            <w:vAlign w:val="top"/>
          </w:tcPr>
          <w:p w14:paraId="44239086">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乙方名称</w:t>
            </w:r>
            <w:r>
              <w:rPr>
                <w:rFonts w:hint="eastAsia" w:asciiTheme="minorEastAsia" w:hAnsiTheme="minorEastAsia" w:eastAsiaTheme="minorEastAsia" w:cstheme="minorEastAsia"/>
                <w:spacing w:val="-20"/>
                <w:kern w:val="0"/>
                <w:sz w:val="20"/>
                <w:szCs w:val="20"/>
                <w:highlight w:val="none"/>
              </w:rPr>
              <w:t>（盖章）</w:t>
            </w:r>
            <w:r>
              <w:rPr>
                <w:rFonts w:hint="eastAsia" w:asciiTheme="minorEastAsia" w:hAnsiTheme="minorEastAsia" w:eastAsiaTheme="minorEastAsia" w:cstheme="minorEastAsia"/>
                <w:kern w:val="0"/>
                <w:sz w:val="20"/>
                <w:szCs w:val="20"/>
                <w:highlight w:val="none"/>
              </w:rPr>
              <w:t>:</w:t>
            </w:r>
          </w:p>
          <w:p w14:paraId="4B7681C2">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地址：</w:t>
            </w:r>
          </w:p>
          <w:p w14:paraId="5E01359B">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代表人（签字）：</w:t>
            </w:r>
          </w:p>
          <w:p w14:paraId="4BD05024">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电话：</w:t>
            </w:r>
          </w:p>
          <w:p w14:paraId="592FDCA6">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开户银行：</w:t>
            </w:r>
          </w:p>
          <w:p w14:paraId="6129EABB">
            <w:pPr>
              <w:widowControl/>
              <w:autoSpaceDE w:val="0"/>
              <w:autoSpaceDN w:val="0"/>
              <w:snapToGrid w:val="0"/>
              <w:spacing w:line="360" w:lineRule="auto"/>
              <w:ind w:right="-154"/>
              <w:textAlignment w:val="bottom"/>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帐号：</w:t>
            </w:r>
          </w:p>
        </w:tc>
      </w:tr>
    </w:tbl>
    <w:p w14:paraId="44D2592E"/>
    <w:p w14:paraId="65A8F06E">
      <w:pPr>
        <w:pStyle w:val="11"/>
      </w:pPr>
    </w:p>
    <w:p w14:paraId="4C1561B4">
      <w:pPr>
        <w:pStyle w:val="11"/>
        <w:rPr>
          <w:rFonts w:hint="eastAsia"/>
          <w:lang w:val="en-US" w:eastAsia="zh-Hans"/>
        </w:rPr>
      </w:pPr>
    </w:p>
    <w:p w14:paraId="50D5A1A7">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F610D"/>
    <w:rsid w:val="1F8F6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2025-12-26T09:34:00Z</dcterms:created>
  <dc:creator>爱工作爱学习的李同学</dc:creator>
  <cp:lastModifiedBy>爱工作爱学习的李同学</cp:lastModifiedBy>
  <dcterms:modified xsi:type="dcterms:W3CDTF">2025-12-26T09:35:30Z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37B94780DCB64F84849A7690B67B20FA_11</vt:lpwstr>
  </property>
  <property fmtid="{D5CDD505-2E9C-101B-9397-08002B2CF9AE}" pid="4" name="KSOTemplateDocerSaveRecord">
    <vt:lpwstr>eyJoZGlkIjoiZTViZWRjNTMwMDU3MjBlMjY0OTJhNmFlOTM4Nzg2OTIiLCJ1c2VySWQiOiI0MjU5NDQxNjQifQ==</vt:lpwstr>
  </property>
</Properties>
</file>