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版本号：HYGH2025-ZCCS-121920251226001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周至县人民政府门户网站运维保障项目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HYGH2025-ZCCS-1219</w:t>
      </w:r>
      <w:r>
        <w:br/>
      </w:r>
      <w:r>
        <w:br/>
      </w:r>
      <w:r>
        <w:br/>
      </w:r>
    </w:p>
    <w:p>
      <w:pPr>
        <w:pStyle w:val="null3"/>
        <w:jc w:val="center"/>
        <w:outlineLvl w:val="2"/>
      </w:pPr>
      <w:r>
        <w:rPr>
          <w:rFonts w:ascii="仿宋_GB2312" w:hAnsi="仿宋_GB2312" w:cs="仿宋_GB2312" w:eastAsia="仿宋_GB2312"/>
          <w:sz w:val="28"/>
          <w:b/>
        </w:rPr>
        <w:t>周至县人民政府办公室</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周至县人民政府办公室</w:t>
      </w:r>
      <w:r>
        <w:rPr>
          <w:rFonts w:ascii="仿宋_GB2312" w:hAnsi="仿宋_GB2312" w:cs="仿宋_GB2312" w:eastAsia="仿宋_GB2312"/>
        </w:rPr>
        <w:t>委托，拟对</w:t>
      </w:r>
      <w:r>
        <w:rPr>
          <w:rFonts w:ascii="仿宋_GB2312" w:hAnsi="仿宋_GB2312" w:cs="仿宋_GB2312" w:eastAsia="仿宋_GB2312"/>
        </w:rPr>
        <w:t>周至县人民政府门户网站运维保障项目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HYGH2025-ZCCS-1219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周至县人民政府门户网站运维保障项目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周至县人民政府门户网站运维保障项目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采购包1（周至县人民政府门户网站运维保障项目）：属于专门面向中小企业采购。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提供2024年度的财务审计报告（成立时间至提交投标文件截止时间不足一年的可提供成立后任意时段的资产负债表）或开标时间前六个月内银行出具的资信证明；注：提供的财务审计报告须具有注册会计师行业统一监管平台（http://acc.mof.gov.cn）赋予的验证码，并提供对应的查询截图。</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6、相关主体信用记录查询：供应商通过“信用中国”网站(www.creditchina.gov.cn)、中国政府采购网(www.ccgp.gov.cn)等查询相关主体信用记录；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9、中小型企业声明函：需提供中小企业声明函；</w:t>
      </w:r>
    </w:p>
    <w:p>
      <w:pPr>
        <w:pStyle w:val="null3"/>
      </w:pPr>
      <w:r>
        <w:rPr>
          <w:rFonts w:ascii="仿宋_GB2312" w:hAnsi="仿宋_GB2312" w:cs="仿宋_GB2312" w:eastAsia="仿宋_GB2312"/>
        </w:rPr>
        <w:t>10、不接受联合体磋商：本项目不接受联合体磋商（提供承诺书）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周至县老城东街37号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高崟栋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17691355432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周至县人民政府办公室</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符合国家法律法规及行业要求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29号西安航空创新创业园研发楼301- 12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周至县人民政府门户网站运维保障项目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339,000.00</w:t>
      </w:r>
    </w:p>
    <w:p>
      <w:pPr>
        <w:pStyle w:val="null3"/>
      </w:pPr>
      <w:r>
        <w:rPr>
          <w:rFonts w:ascii="仿宋_GB2312" w:hAnsi="仿宋_GB2312" w:cs="仿宋_GB2312" w:eastAsia="仿宋_GB2312"/>
        </w:rPr>
        <w:t>采购包最高限价（元）: 339,000.00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周至县人民政府门户网站运维保障项目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标的名称：周至县人民政府门户网站运维保障项目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both"/>
              <w:outlineLvl w:val="0"/>
            </w:pPr>
            <w:r>
              <w:rPr>
                <w:rFonts w:ascii="仿宋_GB2312" w:hAnsi="仿宋_GB2312" w:cs="仿宋_GB2312" w:eastAsia="仿宋_GB2312"/>
                <w:sz w:val="26"/>
                <w:b/>
              </w:rPr>
              <w:t>一、服务内容</w:t>
            </w:r>
          </w:p>
          <w:tbl>
            <w:tblPr>
              <w:tblBorders>
                <w:top w:val="none" w:color="000000" w:sz="4"/>
                <w:left w:val="none" w:color="000000" w:sz="4"/>
                <w:bottom w:val="none" w:color="000000" w:sz="4"/>
                <w:right w:val="none" w:color="000000" w:sz="4"/>
                <w:insideH w:val="none"/>
                <w:insideV w:val="none"/>
              </w:tblBorders>
            </w:tblPr>
            <w:tblGrid>
              <w:gridCol w:w="296"/>
              <w:gridCol w:w="272"/>
              <w:gridCol w:w="457"/>
              <w:gridCol w:w="1527"/>
            </w:tblGrid>
            <w:tr>
              <w:tc>
                <w:tcPr>
                  <w:tcW w:type="dxa" w:w="296"/>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序号</w:t>
                  </w:r>
                </w:p>
              </w:tc>
              <w:tc>
                <w:tcPr>
                  <w:tcW w:type="dxa" w:w="729"/>
                  <w:gridSpan w:val="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名称</w:t>
                  </w:r>
                </w:p>
              </w:tc>
              <w:tc>
                <w:tcPr>
                  <w:tcW w:type="dxa" w:w="152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内容说明</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一</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内容运维服务</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1</w:t>
                  </w:r>
                </w:p>
              </w:tc>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政策解读制作</w:t>
                  </w: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政策图解</w:t>
                  </w:r>
                </w:p>
              </w:tc>
              <w:tc>
                <w:tcPr>
                  <w:tcW w:type="dxa" w:w="1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rPr>
                    <w:t>提供图片、图表等形式的政策解读制作服务不少于</w:t>
                  </w:r>
                  <w:r>
                    <w:rPr>
                      <w:rFonts w:ascii="仿宋_GB2312" w:hAnsi="仿宋_GB2312" w:cs="仿宋_GB2312" w:eastAsia="仿宋_GB2312"/>
                      <w:sz w:val="26"/>
                    </w:rPr>
                    <w:t>30个/年。</w:t>
                  </w:r>
                </w:p>
              </w:tc>
            </w:tr>
            <w:tr>
              <w:tc>
                <w:tcPr>
                  <w:tcW w:type="dxa" w:w="296"/>
                  <w:vMerge/>
                  <w:tcBorders>
                    <w:top w:val="none" w:color="000000" w:sz="4"/>
                    <w:left w:val="single" w:color="000000" w:sz="4"/>
                    <w:bottom w:val="single" w:color="000000" w:sz="4"/>
                    <w:right w:val="single" w:color="000000" w:sz="4"/>
                  </w:tcBorders>
                </w:tcPr>
                <w:p/>
              </w:tc>
              <w:tc>
                <w:tcPr>
                  <w:tcW w:type="dxa" w:w="272"/>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政策动漫</w:t>
                  </w:r>
                </w:p>
                <w:p>
                  <w:pPr>
                    <w:pStyle w:val="null3"/>
                    <w:jc w:val="center"/>
                  </w:pPr>
                  <w:r>
                    <w:rPr>
                      <w:rFonts w:ascii="仿宋_GB2312" w:hAnsi="仿宋_GB2312" w:cs="仿宋_GB2312" w:eastAsia="仿宋_GB2312"/>
                      <w:sz w:val="26"/>
                    </w:rPr>
                    <w:t>解读</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rPr>
                    <w:t>提供</w:t>
                  </w:r>
                  <w:r>
                    <w:rPr>
                      <w:rFonts w:ascii="仿宋_GB2312" w:hAnsi="仿宋_GB2312" w:cs="仿宋_GB2312" w:eastAsia="仿宋_GB2312"/>
                      <w:sz w:val="26"/>
                    </w:rPr>
                    <w:t>2个卡通动漫形式的政策解读制作服务（动漫时长控制在90秒以内）。</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2</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专题专栏制作</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rPr>
                    <w:t>根据政府工作要求，规划设计实施专题专栏</w:t>
                  </w:r>
                  <w:r>
                    <w:rPr>
                      <w:rFonts w:ascii="仿宋_GB2312" w:hAnsi="仿宋_GB2312" w:cs="仿宋_GB2312" w:eastAsia="仿宋_GB2312"/>
                      <w:sz w:val="26"/>
                    </w:rPr>
                    <w:t>5个/年。</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二</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应用拓展服务</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1</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color w:val="000000"/>
                    </w:rPr>
                    <w:t>公共企事业单位信息公开专区</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color w:val="000000"/>
                    </w:rPr>
                    <w:t>开展教育、卫生健康、公共文化、公共交通等领域的公共企事业单位信息公开专区建设。</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2</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color w:val="000000"/>
                    </w:rPr>
                    <w:t>智能问答系统</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rPr>
                    <w:t>通过云服务方式，提供智能问答系统服务。同时，提供智能问答知识库的梳理、更新、维护和语义学习训练等服务。</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三</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政府网站监测与对标诊断服务</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1</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政府网站监测</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rPr>
                    <w:t>基于云服务模式，提供网站监测系统，针对政府网站无法访问、网站可用性、链接可用性、网站响应、网站更新、错敏信息、隐私泄露、外链暗链等方面进行实时监测和扫描，针对监测出的问题，及时预警提醒。并根据《政府网站与政务新媒体检查指标》，按季度对政府网站进行全面检测，结合系统监测和人工检查结果，出具全面的网站检测报告。</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2</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对标诊断</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rPr>
                    <w:t>对标中省市考核指标，开展政务公开对标诊断，形成《对标诊断报告》，辅助查漏补缺。</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四</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网站安全服务</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1</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SSL证书</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rPr>
                    <w:t>购买</w:t>
                  </w:r>
                  <w:r>
                    <w:rPr>
                      <w:rFonts w:ascii="仿宋_GB2312" w:hAnsi="仿宋_GB2312" w:cs="仿宋_GB2312" w:eastAsia="仿宋_GB2312"/>
                      <w:sz w:val="26"/>
                    </w:rPr>
                    <w:t>SSL证书服务，实现网站的身份验证和数据传输加密功能。</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五</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b/>
                    </w:rPr>
                    <w:t>人员驻场服务</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1</w:t>
                  </w:r>
                </w:p>
              </w:tc>
              <w:tc>
                <w:tcPr>
                  <w:tcW w:type="dxa" w:w="72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rPr>
                    <w:t>人员驻场服务</w:t>
                  </w:r>
                </w:p>
              </w:tc>
              <w:tc>
                <w:tcPr>
                  <w:tcW w:type="dxa" w:w="1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6"/>
                    </w:rPr>
                    <w:t>提供</w:t>
                  </w:r>
                  <w:r>
                    <w:rPr>
                      <w:rFonts w:ascii="仿宋_GB2312" w:hAnsi="仿宋_GB2312" w:cs="仿宋_GB2312" w:eastAsia="仿宋_GB2312"/>
                      <w:sz w:val="26"/>
                    </w:rPr>
                    <w:t>1名人员驻场服务。根据客户要求提供网站内容采编与维护管理、网站日常检查监测、网站错敏信息审核与修改、网站断错链修改、网站监测问题整改跟踪、需求收集与反馈、数据统计与报表、系统管理等服务。</w:t>
                  </w:r>
                </w:p>
              </w:tc>
            </w:tr>
          </w:tbl>
          <w:p>
            <w:pPr>
              <w:pStyle w:val="null3"/>
              <w:jc w:val="both"/>
            </w:pPr>
            <w:r>
              <w:rPr>
                <w:rFonts w:ascii="仿宋_GB2312" w:hAnsi="仿宋_GB2312" w:cs="仿宋_GB2312" w:eastAsia="仿宋_GB2312"/>
                <w:sz w:val="28"/>
              </w:rPr>
              <w:t>二、服务期限</w:t>
            </w:r>
          </w:p>
          <w:p>
            <w:pPr>
              <w:pStyle w:val="null3"/>
              <w:ind w:firstLine="560"/>
              <w:jc w:val="both"/>
            </w:pPr>
            <w:r>
              <w:rPr>
                <w:rFonts w:ascii="仿宋_GB2312" w:hAnsi="仿宋_GB2312" w:cs="仿宋_GB2312" w:eastAsia="仿宋_GB2312"/>
                <w:sz w:val="28"/>
              </w:rPr>
              <w:t>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项目实施1个月后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项目实施6个月后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开标时间前六个月内银行出具的资信证明；注：提供的财务审计报告须具有注册会计师行业统一监管平台（http://acc.mof.gov.cn）赋予的验证码，并提供对应的查询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相关主体信用记录查询</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中小型企业声明函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分项报价表.docx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投标总报价不得超过最高限价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分项报价表.docx 服务内容及服务邀请应答表 供应商应提交的相关资格证明材料.docx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服务需求理解方案</w:t>
            </w:r>
          </w:p>
        </w:tc>
        <w:tc>
          <w:tcPr>
            <w:tcW w:type="dxa" w:w="2492"/>
          </w:tcPr>
          <w:p>
            <w:pPr>
              <w:pStyle w:val="null3"/>
            </w:pPr>
            <w:r>
              <w:rPr>
                <w:rFonts w:ascii="仿宋_GB2312" w:hAnsi="仿宋_GB2312" w:cs="仿宋_GB2312" w:eastAsia="仿宋_GB2312"/>
              </w:rPr>
              <w:t>针对本项目具有详细、合理的服务需求理解方案，方案内容包含但不限于①服务内容需求②服务要求等。 以上2项内容全面详细、逻辑条理清晰、操作细节明确且符合本项目采购需求，能有效保障本项目实施的计10分，每有一项方案缺失扣5分，每一项方案内容存在缺陷，按以下说明扣分。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政府网站监测与对标诊断服务</w:t>
            </w:r>
          </w:p>
        </w:tc>
        <w:tc>
          <w:tcPr>
            <w:tcW w:type="dxa" w:w="2492"/>
          </w:tcPr>
          <w:p>
            <w:pPr>
              <w:pStyle w:val="null3"/>
            </w:pPr>
            <w:r>
              <w:rPr>
                <w:rFonts w:ascii="仿宋_GB2312" w:hAnsi="仿宋_GB2312" w:cs="仿宋_GB2312" w:eastAsia="仿宋_GB2312"/>
              </w:rPr>
              <w:t>针对供应商提供普查监测服务方案，方案内容包含但不限于①日常规范性监测和错敏信息监测②可用性监测和更新监测③健康度分析和实时告警及监测报告④对标中省市考核指标，开展政务公开对标诊断，形成《对标诊断报告》，辅助查漏补缺。 以上3项内容全面详细、逻辑条理清晰、操作细节明确且符合本项目采购需求，同时提供功能截图，能有效保障本项目实施的计12分，每有一项方案缺失扣3分，每一项方案内容存在缺陷，按以下说明扣分。 说明：缺陷是指 ①内容不合理、虽有内容但内容稀疏、不完善、存在不适用项目实际情况的情形且内容表述前后不一致，扣1分； ②涉及的规范及标准错误、地点区域错误、存在与本项目无关的内容、语义描述不清、存在影响项目履约质量的情况等任意一种情形，扣1分。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系统运维服务方案</w:t>
            </w:r>
          </w:p>
        </w:tc>
        <w:tc>
          <w:tcPr>
            <w:tcW w:type="dxa" w:w="2492"/>
          </w:tcPr>
          <w:p>
            <w:pPr>
              <w:pStyle w:val="null3"/>
            </w:pPr>
            <w:r>
              <w:rPr>
                <w:rFonts w:ascii="仿宋_GB2312" w:hAnsi="仿宋_GB2312" w:cs="仿宋_GB2312" w:eastAsia="仿宋_GB2312"/>
              </w:rPr>
              <w:t>根据供应商提供完善的网站系统运维服务方案，方案内容包含但不限于①设立专人项目运维组：负责漏洞修复、定期巡检、系统监控、功能优化、数据管理、性能优化、系统管理、安全管理、技术咨询、专项保障等②服务渠道多样化和服务响应及时。 以上2项内容全面详细、逻辑条理清晰、操作细节明确且符合本项目采购需求，能有效保障本项目实施的计10分，每有一项方案缺失扣5分，每一项方案内容存在缺陷，按以下说明扣分。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内容保障服务方案</w:t>
            </w:r>
          </w:p>
        </w:tc>
        <w:tc>
          <w:tcPr>
            <w:tcW w:type="dxa" w:w="2492"/>
          </w:tcPr>
          <w:p>
            <w:pPr>
              <w:pStyle w:val="null3"/>
            </w:pPr>
            <w:r>
              <w:rPr>
                <w:rFonts w:ascii="仿宋_GB2312" w:hAnsi="仿宋_GB2312" w:cs="仿宋_GB2312" w:eastAsia="仿宋_GB2312"/>
              </w:rPr>
              <w:t>根据供应商提供网站内容保障服务方案，方案内容包含但不限于①网站页面、栏目及内容优化调整②政策图解制作服③政策动漫解读。 以上3项内容全面详细、逻辑条理清晰、操作细节明确且符合本项目采购需求，能有效保障本项目实施的计9分，每有一项方案缺失扣3分，每一项方案内容存在缺陷，按以下说明扣分。 说明：缺陷是指 ①内容不合理、虽有内容但内容稀疏、不完善、存在不适用项目实际情况的情形且内容表述前后不一致，扣1分； ②涉及的规范及标准错误、地点区域错误、存在与本项目无关的内容、语义描述不清、存在影响项目履约质量的情况等任意一种情形，扣1分。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应用拓展服务方案</w:t>
            </w:r>
          </w:p>
        </w:tc>
        <w:tc>
          <w:tcPr>
            <w:tcW w:type="dxa" w:w="2492"/>
          </w:tcPr>
          <w:p>
            <w:pPr>
              <w:pStyle w:val="null3"/>
            </w:pPr>
            <w:r>
              <w:rPr>
                <w:rFonts w:ascii="仿宋_GB2312" w:hAnsi="仿宋_GB2312" w:cs="仿宋_GB2312" w:eastAsia="仿宋_GB2312"/>
              </w:rPr>
              <w:t>根据供应商提供的应用拓展服务方案，方案内容包含但不限于①公共企事业单位信息公开专区②智能问答系统维护、梳理、更新等护、梳理、更新等。 以上3项内容全面详细、逻辑条理清晰、操作细节明确且符合本项目采购需求，能有效保障本项目实施的计10分，每有一项方案缺失扣5分，每一项方案内容存在缺陷，按以下说明扣分。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专题专栏与政策解读制作方案</w:t>
            </w:r>
          </w:p>
        </w:tc>
        <w:tc>
          <w:tcPr>
            <w:tcW w:type="dxa" w:w="2492"/>
          </w:tcPr>
          <w:p>
            <w:pPr>
              <w:pStyle w:val="null3"/>
            </w:pPr>
            <w:r>
              <w:rPr>
                <w:rFonts w:ascii="仿宋_GB2312" w:hAnsi="仿宋_GB2312" w:cs="仿宋_GB2312" w:eastAsia="仿宋_GB2312"/>
              </w:rPr>
              <w:t>供应商根据要求提供网站专题专栏与政策解读制作方案，方案内容包含但不限于①规划制作网站专题专栏②政策文件、政务公开年报等图文解读的设计、制作和发布。 以上2项内容全面详细、逻辑条理清晰、操作细节明确且符合本项目采购需求，能有效保障本项目实施的计10分，每有一项方案缺失扣5分，每一项方案内容存在缺陷，按以下说明扣分。 说明：缺陷是指 ①内容不合理、虽有内容但内容稀疏、不完善、存在不适用项目实际情况的情形且内容表述前后不一致，扣2.5分； ②涉及的规范及标准错误、地点区域错误、存在与本项目无关的内容、语义描述不清、存在影响项目履约质量的情况等任意一种情形，扣2.5分。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安全防范及应急保障措施方案</w:t>
            </w:r>
          </w:p>
        </w:tc>
        <w:tc>
          <w:tcPr>
            <w:tcW w:type="dxa" w:w="2492"/>
          </w:tcPr>
          <w:p>
            <w:pPr>
              <w:pStyle w:val="null3"/>
            </w:pPr>
            <w:r>
              <w:rPr>
                <w:rFonts w:ascii="仿宋_GB2312" w:hAnsi="仿宋_GB2312" w:cs="仿宋_GB2312" w:eastAsia="仿宋_GB2312"/>
              </w:rPr>
              <w:t>针对本项目具有详细、合理的服务需求理解方案，方案内容包含但不限于①安全防范措施②针对各类突发事件的应急保障措施方案③投标人具有SSL证书。 以上2项内容全面详细、逻辑条理清晰、操作细节明确且符合本项目采购需求，能有效保障本项目实施的计9分，每有一项方案缺失扣3分，每一项方案内容存在缺陷，按以下说明扣分。 说明：缺陷是指 ①内容不合理、虽有内容但内容稀疏、不完善、存在不适用项目实际情况的情形且内容表述前后不一致，扣1分； ②涉及的规范及标准错误、地点区域错误、存在与本项目无关的内容、语义描述不清、存在影响项目履约质量的情况等任意一种情形，扣1分。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供应商针对本项目提供全面专业驻场人员，以满足项目需求满。 人员职责分工明确、从业经验丰富、配置合理得6分； 人员职责分工较明确、从业经验较丰富、配置较合理得4分； 人员职责分工一般明确、从业经验一般丰富、配置一般合理得2分；其他或未提供得0分。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供应商提供有关网站集约化运维监管、集约化网站管理、集约化新媒体管理、集约化政民互动、集约化内容采编、集约化智能检索等相关软件著作权证书的，每提供一个得1分，最高得6分。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供应商提供2022年1月1日至今类似政府门户网站运维或监测项目业绩（以加盖供应商公章的合同复印件为准，时间以合同签订时间为准），每提供一个业绩得2分。满分8分。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详见附件：运维服务合同.docx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