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6951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10779AB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3E46E3B3">
      <w:pPr>
        <w:pStyle w:val="4"/>
        <w:widowControl/>
        <w:adjustRightInd w:val="0"/>
        <w:snapToGrid w:val="0"/>
        <w:spacing w:line="360" w:lineRule="auto"/>
        <w:jc w:val="cente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t>佛坪厅故城西城门、东城门抢险加固工程</w:t>
      </w:r>
    </w:p>
    <w:p w14:paraId="3950FB87">
      <w:pPr>
        <w:pStyle w:val="4"/>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Hans"/>
        </w:rPr>
        <w:t>施工合同</w:t>
      </w:r>
    </w:p>
    <w:p w14:paraId="5B71CF0C">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F301400">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4913B7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975C99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835A31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1F35699F">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p>
    <w:p w14:paraId="2224E37D">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545C38E3">
      <w:pPr>
        <w:pStyle w:val="2"/>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5F7D18F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B83587">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58B18F1">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3BA558A8">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18A94A3A">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2B4B171B">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174487FB">
      <w:pPr>
        <w:pStyle w:val="4"/>
        <w:keepNext w:val="0"/>
        <w:keepLines w:val="0"/>
        <w:pageBreakBefore w:val="0"/>
        <w:widowControl/>
        <w:wordWrap/>
        <w:overflowPunct/>
        <w:topLinePunct w:val="0"/>
        <w:bidi w:val="0"/>
        <w:adjustRightInd w:val="0"/>
        <w:snapToGrid w:val="0"/>
        <w:spacing w:line="500" w:lineRule="exact"/>
        <w:jc w:val="center"/>
        <w:rPr>
          <w:rFonts w:hint="eastAsia"/>
          <w:color w:val="auto"/>
          <w:highlight w:val="none"/>
          <w:lang w:eastAsia="zh-CN"/>
        </w:rPr>
      </w:pPr>
      <w:r>
        <w:rPr>
          <w:rFonts w:hint="eastAsia" w:hAnsi="宋体" w:cs="宋体"/>
          <w:b/>
          <w:bCs w:val="0"/>
          <w:color w:val="auto"/>
          <w:kern w:val="2"/>
          <w:sz w:val="36"/>
          <w:szCs w:val="36"/>
          <w:highlight w:val="none"/>
          <w:lang w:val="en-US" w:eastAsia="zh-CN"/>
        </w:rPr>
        <w:t>佛坪厅故城西城门、东城门抢险加固工程</w:t>
      </w:r>
      <w:r>
        <w:rPr>
          <w:rFonts w:hint="eastAsia" w:hAnsi="宋体" w:cs="宋体"/>
          <w:b/>
          <w:bCs w:val="0"/>
          <w:color w:val="auto"/>
          <w:kern w:val="2"/>
          <w:sz w:val="36"/>
          <w:szCs w:val="36"/>
          <w:highlight w:val="none"/>
          <w:lang w:val="en-US" w:eastAsia="zh-Hans"/>
        </w:rPr>
        <w:t>施工合同</w:t>
      </w:r>
    </w:p>
    <w:p w14:paraId="43A1F5CD">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7A5B9869">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49DB91B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1971D39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04DED9D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佛坪厅故城西城门、东城门抢险加固工程</w:t>
      </w:r>
    </w:p>
    <w:p w14:paraId="615F67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工程地点：</w:t>
      </w:r>
      <w:r>
        <w:rPr>
          <w:rFonts w:hint="eastAsia" w:ascii="CESI仿宋-GB2312" w:hAnsi="CESI仿宋-GB2312" w:eastAsia="CESI仿宋-GB2312" w:cs="CESI仿宋-GB2312"/>
          <w:color w:val="auto"/>
          <w:sz w:val="28"/>
          <w:szCs w:val="28"/>
          <w:highlight w:val="none"/>
          <w:lang w:val="en-US" w:eastAsia="zh-CN"/>
        </w:rPr>
        <w:t>西安市周至县</w:t>
      </w:r>
    </w:p>
    <w:p w14:paraId="46604F0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佛坪厅故城西城门、东城门抢险加固工程图纸所包含的全部内容。。</w:t>
      </w:r>
    </w:p>
    <w:p w14:paraId="741EFBC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32B0FC8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自合同签订之日起</w:t>
      </w:r>
      <w:r>
        <w:rPr>
          <w:rFonts w:hint="eastAsia" w:ascii="CESI仿宋-GB2312" w:hAnsi="CESI仿宋-GB2312" w:eastAsia="CESI仿宋-GB2312" w:cs="CESI仿宋-GB2312"/>
          <w:color w:val="auto"/>
          <w:sz w:val="28"/>
          <w:szCs w:val="28"/>
          <w:highlight w:val="none"/>
          <w:u w:val="single"/>
          <w:lang w:val="en-US" w:eastAsia="zh-CN"/>
        </w:rPr>
        <w:t>9</w:t>
      </w:r>
      <w:r>
        <w:rPr>
          <w:rFonts w:hint="eastAsia" w:ascii="CESI仿宋-GB2312" w:hAnsi="CESI仿宋-GB2312" w:eastAsia="CESI仿宋-GB2312" w:cs="CESI仿宋-GB2312"/>
          <w:color w:val="auto"/>
          <w:sz w:val="28"/>
          <w:szCs w:val="28"/>
          <w:highlight w:val="none"/>
          <w:u w:val="single"/>
          <w:lang w:eastAsia="zh-CN"/>
        </w:rPr>
        <w:t>0日历天内</w:t>
      </w:r>
      <w:r>
        <w:rPr>
          <w:rFonts w:hint="eastAsia" w:ascii="CESI仿宋-GB2312" w:hAnsi="CESI仿宋-GB2312" w:eastAsia="CESI仿宋-GB2312" w:cs="CESI仿宋-GB2312"/>
          <w:color w:val="auto"/>
          <w:sz w:val="28"/>
          <w:szCs w:val="28"/>
          <w:highlight w:val="none"/>
          <w:lang w:val="zh-CN" w:eastAsia="zh-CN"/>
        </w:rPr>
        <w:t>。</w:t>
      </w:r>
    </w:p>
    <w:p w14:paraId="6848B71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0906FA6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3EF4A65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达到国家及行业现行技术规范标准，符合国家及行业验收合格标准。</w:t>
      </w:r>
    </w:p>
    <w:p w14:paraId="38F636D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331AAE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1C96299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其他工程为二年，防水工程为五年</w:t>
      </w:r>
      <w:r>
        <w:rPr>
          <w:rFonts w:hint="eastAsia" w:ascii="CESI仿宋-GB2312" w:hAnsi="CESI仿宋-GB2312" w:eastAsia="CESI仿宋-GB2312" w:cs="CESI仿宋-GB2312"/>
          <w:color w:val="auto"/>
          <w:sz w:val="28"/>
          <w:szCs w:val="28"/>
          <w:highlight w:val="none"/>
          <w:lang w:val="en-US" w:eastAsia="zh-CN"/>
        </w:rPr>
        <w:t>。</w:t>
      </w:r>
    </w:p>
    <w:p w14:paraId="0F798C0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46709C7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6AC17C8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2C56DE4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541D91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7F9D562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lang w:val="zh-CN" w:eastAsia="zh-CN"/>
        </w:rPr>
        <w:t>、</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316C519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6BE47BC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58C8D70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工程款支付方式：合同签订后，支付合同总金额的</w:t>
      </w:r>
      <w:r>
        <w:rPr>
          <w:rFonts w:hint="eastAsia" w:ascii="CESI仿宋-GB2312" w:hAnsi="CESI仿宋-GB2312" w:eastAsia="CESI仿宋-GB2312" w:cs="CESI仿宋-GB2312"/>
          <w:color w:val="auto"/>
          <w:sz w:val="28"/>
          <w:szCs w:val="28"/>
          <w:highlight w:val="none"/>
          <w:lang w:val="en-US" w:eastAsia="zh-CN"/>
        </w:rPr>
        <w:t>3</w:t>
      </w:r>
      <w:r>
        <w:rPr>
          <w:rFonts w:hint="eastAsia" w:ascii="CESI仿宋-GB2312" w:hAnsi="CESI仿宋-GB2312" w:eastAsia="CESI仿宋-GB2312" w:cs="CESI仿宋-GB2312"/>
          <w:color w:val="auto"/>
          <w:sz w:val="28"/>
          <w:szCs w:val="28"/>
          <w:highlight w:val="none"/>
          <w:lang w:val="zh-CN" w:eastAsia="zh-CN"/>
        </w:rPr>
        <w:t>0.00%。工程全部竣工验收通过后，支付合同总金额的</w:t>
      </w:r>
      <w:r>
        <w:rPr>
          <w:rFonts w:hint="eastAsia" w:ascii="CESI仿宋-GB2312" w:hAnsi="CESI仿宋-GB2312" w:eastAsia="CESI仿宋-GB2312" w:cs="CESI仿宋-GB2312"/>
          <w:color w:val="auto"/>
          <w:sz w:val="28"/>
          <w:szCs w:val="28"/>
          <w:highlight w:val="none"/>
          <w:lang w:val="en-US" w:eastAsia="zh-CN"/>
        </w:rPr>
        <w:t>6</w:t>
      </w:r>
      <w:r>
        <w:rPr>
          <w:rFonts w:hint="eastAsia" w:ascii="CESI仿宋-GB2312" w:hAnsi="CESI仿宋-GB2312" w:eastAsia="CESI仿宋-GB2312" w:cs="CESI仿宋-GB2312"/>
          <w:color w:val="auto"/>
          <w:sz w:val="28"/>
          <w:szCs w:val="28"/>
          <w:highlight w:val="none"/>
          <w:lang w:val="zh-CN" w:eastAsia="zh-CN"/>
        </w:rPr>
        <w:t>0.00%。工程审计结束后，支付合同总金额的10.00%。</w:t>
      </w:r>
    </w:p>
    <w:p w14:paraId="32B0F53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1A66B6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69D3AF5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1D3FF69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71CC30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7A0E6AE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3FECC5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0A434B2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6AAC1B4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4E0A2F4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0782C24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5BADB5D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199BE62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5C2EFB6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7E8D28A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11D03EC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6FFDF5B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1C3F257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6DBFB95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 发包人违约</w:t>
      </w:r>
    </w:p>
    <w:p w14:paraId="5AE8429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1.1发包人违约的情形</w:t>
      </w:r>
    </w:p>
    <w:p w14:paraId="03F988B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发包人违约的其他情形：</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762C0B6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1.2 发包人违约的责任</w:t>
      </w:r>
    </w:p>
    <w:p w14:paraId="718826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发包人违约责任的承担方式和计算方法：</w:t>
      </w:r>
    </w:p>
    <w:p w14:paraId="1601957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（1）因发包人原因未能在计划开工日期前7天内下达开工通知的违约责任：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620A8EC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（2）因发包人原因未能按合同约定支付合同价款的违约责任：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5701EA3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（3）发包人违反第10.1款〔变更的范围〕第（2）项约定，自行实施被取消的工作或转由他人实施的违约责任：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AF832D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（4）发包人提供的材料、工程设备的规格、数量或质量不符合合同约定，或因发包人原因导致交货日期延误或交货地点变更等情况的违约责任：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9F49E0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（5）因发包人违反合同约定造成暂停施工的违约责任：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AC23E9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（6）发包人无正当理由没有在约定期限内发出复工指示，导致承包人无法复工的违约责任：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301F7E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（7）其他：</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693C0BC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1.3 因发包人违约解除合同</w:t>
      </w:r>
    </w:p>
    <w:p w14:paraId="32407CF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承包人按16.1.1项〔发包人违约的情形〕约定暂停施工满</w:t>
      </w:r>
      <w:r>
        <w:rPr>
          <w:rFonts w:hint="eastAsia" w:ascii="CESI仿宋-GB2312" w:hAnsi="CESI仿宋-GB2312" w:eastAsia="CESI仿宋-GB2312" w:cs="CESI仿宋-GB2312"/>
          <w:color w:val="auto"/>
          <w:sz w:val="28"/>
          <w:szCs w:val="28"/>
          <w:highlight w:val="none"/>
          <w:u w:val="single"/>
          <w:lang w:val="en-US" w:eastAsia="zh-CN"/>
        </w:rPr>
        <w:t xml:space="preserve"> 60 </w:t>
      </w:r>
      <w:r>
        <w:rPr>
          <w:rFonts w:hint="eastAsia" w:ascii="CESI仿宋-GB2312" w:hAnsi="CESI仿宋-GB2312" w:eastAsia="CESI仿宋-GB2312" w:cs="CESI仿宋-GB2312"/>
          <w:color w:val="auto"/>
          <w:sz w:val="28"/>
          <w:szCs w:val="28"/>
          <w:highlight w:val="none"/>
          <w:lang w:val="en-US" w:eastAsia="zh-CN"/>
        </w:rPr>
        <w:t>天后发包人仍不纠正其违约行为并致使合同目的不能实现的，承包人有权解除合同。</w:t>
      </w:r>
    </w:p>
    <w:p w14:paraId="3E912F8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 承包人违约</w:t>
      </w:r>
    </w:p>
    <w:p w14:paraId="2116965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2.1 承包人违约的情形</w:t>
      </w:r>
    </w:p>
    <w:p w14:paraId="2028988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（1）承包人在施工过程中偷工减料的，使用不合格的建筑材料、建筑构配件和设备的，或者不按照工程设计图纸或者施工技术标准施工的其它行为的，承担合同价款百分之二以上百分之四以下的违约金。</w:t>
      </w:r>
    </w:p>
    <w:p w14:paraId="1AF6408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（2）承包人未对建筑材料、建筑构配件、设备和商品混凝土进行检验，或者未对涉及结构安全的试块、试件以及有关材料取样检测的，责令整改，并承担5万元以上20万元以下的违约金。</w:t>
      </w:r>
    </w:p>
    <w:p w14:paraId="4CAAA28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2.2承包人违约的责任</w:t>
      </w:r>
    </w:p>
    <w:p w14:paraId="22D1B49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承包人违约责任的承担方式和计算方法：执行通用合同条款。</w:t>
      </w:r>
    </w:p>
    <w:p w14:paraId="7FE6818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2.3 因承包人违约解除合同</w:t>
      </w:r>
    </w:p>
    <w:p w14:paraId="6259081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关于承包人违约解除合同的特别约定：</w:t>
      </w:r>
      <w:r>
        <w:rPr>
          <w:rFonts w:hint="eastAsia" w:ascii="CESI仿宋-GB2312" w:hAnsi="CESI仿宋-GB2312" w:eastAsia="CESI仿宋-GB2312" w:cs="CESI仿宋-GB2312"/>
          <w:color w:val="auto"/>
          <w:sz w:val="28"/>
          <w:szCs w:val="28"/>
          <w:highlight w:val="none"/>
          <w:u w:val="single"/>
          <w:lang w:val="en-US" w:eastAsia="zh-CN"/>
        </w:rPr>
        <w:t>执行通用合同条款</w:t>
      </w:r>
      <w:r>
        <w:rPr>
          <w:rFonts w:hint="eastAsia" w:ascii="CESI仿宋-GB2312" w:hAnsi="CESI仿宋-GB2312" w:eastAsia="CESI仿宋-GB2312" w:cs="CESI仿宋-GB2312"/>
          <w:color w:val="auto"/>
          <w:sz w:val="28"/>
          <w:szCs w:val="28"/>
          <w:highlight w:val="none"/>
          <w:lang w:val="en-US" w:eastAsia="zh-CN"/>
        </w:rPr>
        <w:t>。</w:t>
      </w:r>
    </w:p>
    <w:p w14:paraId="50E145B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发包人继续使用承包人在施工现场的材料、设备、临时工程、承包人文件和由承包人或以其名义编制的其他文件的费用承担方式：执行通用合同条款。</w:t>
      </w:r>
    </w:p>
    <w:p w14:paraId="18A7CE0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注：通用合同条款执行《建设工程施工合同》（GF-2017-0201）的“通用合同条款”。</w:t>
      </w:r>
    </w:p>
    <w:p w14:paraId="6B49808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（四）与本工程相关的特别说明：</w:t>
      </w:r>
    </w:p>
    <w:p w14:paraId="705CE249">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无</w:t>
      </w:r>
    </w:p>
    <w:p w14:paraId="19E7D9A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199AE85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75C43EB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08AEAF2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72B8ACA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666CDE5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33ADD4D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w:t>
      </w:r>
      <w:bookmarkStart w:id="0" w:name="_GoBack"/>
      <w:bookmarkEnd w:id="0"/>
      <w:r>
        <w:rPr>
          <w:rFonts w:hint="eastAsia" w:ascii="CESI仿宋-GB2312" w:hAnsi="CESI仿宋-GB2312" w:eastAsia="CESI仿宋-GB2312" w:cs="CESI仿宋-GB2312"/>
          <w:color w:val="auto"/>
          <w:sz w:val="28"/>
          <w:szCs w:val="28"/>
          <w:highlight w:val="none"/>
          <w:lang w:eastAsia="zh-CN"/>
        </w:rPr>
        <w:t>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6E4C2C0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373240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79311D1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58E6EB0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7B1292B2">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130084A7">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41E54CA3">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033DA943">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0F667D98">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1FD488DD">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7907A419">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557087D0">
    <w:panose1 w:val="02000500000000000000"/>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ESI仿宋-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0DE3"/>
    <w:rsid w:val="2BAE49AD"/>
    <w:rsid w:val="34297918"/>
    <w:rsid w:val="3C6B792F"/>
    <w:rsid w:val="48BC3128"/>
    <w:rsid w:val="79AF40BA"/>
    <w:rsid w:val="7C02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3">
    <w:name w:val="Body Text"/>
    <w:basedOn w:val="1"/>
    <w:next w:val="1"/>
    <w:semiHidden/>
    <w:qFormat/>
    <w:uiPriority w:val="0"/>
    <w:rPr>
      <w:rFonts w:eastAsia="Arial"/>
    </w:rPr>
  </w:style>
  <w:style w:type="paragraph" w:styleId="4">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2804</Words>
  <Characters>2869</Characters>
  <Lines>0</Lines>
  <Paragraphs>0</Paragraphs>
  <TotalTime>0</TotalTime>
  <ScaleCrop>false</ScaleCrop>
  <LinksUpToDate>false</LinksUpToDate>
  <CharactersWithSpaces>3234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2025-05-27T04:42:00Z</dcterms:created>
  <dc:creator>GIGABYTE</dc:creator>
  <cp:lastModifiedBy>静</cp:lastModifiedBy>
  <dcterms:modified xsi:type="dcterms:W3CDTF">2025-12-03T07:26:11Z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eyJoZGlkIjoiNzYyYzllN2JjNWZkNTYzZjY4YWNmM2JiYzdiYzBmYmYiLCJ1c2VySWQiOiI3MTQxMjMwMjUifQ==</vt:lpwstr>
  </property>
  <property fmtid="{D5CDD505-2E9C-101B-9397-08002B2CF9AE}" pid="4" name="ICV">
    <vt:lpwstr>FEDCB0F83E6F42D4B4C9C6027DD77725_12</vt:lpwstr>
  </property>
</Properties>
</file>