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版本号：DHJC2025-ZC-CS07020251215001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楼观镇东楼村猕猴桃生产路硬化项目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DHJC2025-ZC-CS070</w:t>
      </w:r>
      <w:r>
        <w:br/>
      </w:r>
      <w:r>
        <w:br/>
      </w:r>
      <w:r>
        <w:br/>
      </w:r>
    </w:p>
    <w:p>
      <w:pPr>
        <w:pStyle w:val="null3"/>
        <w:jc w:val="center"/>
        <w:outlineLvl w:val="2"/>
      </w:pPr>
      <w:r>
        <w:rPr>
          <w:rFonts w:ascii="仿宋_GB2312" w:hAnsi="仿宋_GB2312" w:cs="仿宋_GB2312" w:eastAsia="仿宋_GB2312"/>
          <w:sz w:val="28"/>
          <w:b/>
        </w:rPr>
        <w:t>西安市周至县农业综合开发服务中心</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西安市周至县农业综合开发服务中心</w:t>
      </w:r>
      <w:r>
        <w:rPr>
          <w:rFonts w:ascii="仿宋_GB2312" w:hAnsi="仿宋_GB2312" w:cs="仿宋_GB2312" w:eastAsia="仿宋_GB2312"/>
        </w:rPr>
        <w:t>委托，拟对</w:t>
      </w:r>
      <w:r>
        <w:rPr>
          <w:rFonts w:ascii="仿宋_GB2312" w:hAnsi="仿宋_GB2312" w:cs="仿宋_GB2312" w:eastAsia="仿宋_GB2312"/>
        </w:rPr>
        <w:t>楼观镇东楼村猕猴桃生产路硬化项目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DHJC2025-ZC-CS070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楼观镇东楼村猕猴桃生产路硬化项目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磋商文件及工程量清单范围内的全部工作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采购包1（楼观镇东楼村猕猴桃生产路硬化项目）：属于专门面向中小企业采购。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2、企业资质：供应商须具备行业主管部门颁发的市政公用工程施工总承包三级（含三级）及以上资质并具有有效的安全生产许可证</w:t>
      </w:r>
    </w:p>
    <w:p>
      <w:pPr>
        <w:pStyle w:val="null3"/>
      </w:pPr>
      <w:r>
        <w:rPr>
          <w:rFonts w:ascii="仿宋_GB2312" w:hAnsi="仿宋_GB2312" w:cs="仿宋_GB2312" w:eastAsia="仿宋_GB2312"/>
        </w:rPr>
        <w:t>3、项目经理资质：供应商拟派项目经理须具备行业主管部门颁发的市政公用工程专业二级（含二级）及以上注册建造师资格及有效的安全生产考核合格证书（B证），在供应商单位注册，且无在建项目（提供项目经理无在建承诺书）</w:t>
      </w:r>
    </w:p>
    <w:p>
      <w:pPr>
        <w:pStyle w:val="null3"/>
      </w:pPr>
      <w:r>
        <w:rPr>
          <w:rFonts w:ascii="仿宋_GB2312" w:hAnsi="仿宋_GB2312" w:cs="仿宋_GB2312" w:eastAsia="仿宋_GB2312"/>
        </w:rPr>
        <w:t>4、信用信息：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西安市周至县农业综合开发服务中心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周至县城仙游路2号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西安市高新区高新三路西高智能大厦10楼1011室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采购包1：1,395,468.00元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下浮20%计算收取。 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西安市周至县农业综合开发服务中心</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西安市周至县农业综合开发服务中心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西安市周至县农业综合开发服务中心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联系人：罗晖</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地址：西安市高新区高新三路西高智能大厦10楼1011室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1,395,468.00</w:t>
      </w:r>
    </w:p>
    <w:p>
      <w:pPr>
        <w:pStyle w:val="null3"/>
      </w:pPr>
      <w:r>
        <w:rPr>
          <w:rFonts w:ascii="仿宋_GB2312" w:hAnsi="仿宋_GB2312" w:cs="仿宋_GB2312" w:eastAsia="仿宋_GB2312"/>
        </w:rPr>
        <w:t>采购包最高限价（元）: 1,395,468.00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楼观镇东楼村猕猴桃生产路硬化项目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1,395,468.00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标的名称：楼观镇东楼村猕猴桃生产路硬化项目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shd w:fill="FFFFFF" w:val="clear"/>
              </w:rPr>
              <w:t>工期：</w:t>
            </w:r>
            <w:r>
              <w:rPr>
                <w:rFonts w:ascii="仿宋_GB2312" w:hAnsi="仿宋_GB2312" w:cs="仿宋_GB2312" w:eastAsia="仿宋_GB2312"/>
                <w:sz w:val="22"/>
                <w:shd w:fill="FFFFFF" w:val="clear"/>
              </w:rPr>
              <w:t>120日历天</w:t>
            </w:r>
          </w:p>
          <w:p>
            <w:pPr>
              <w:pStyle w:val="null3"/>
              <w:jc w:val="left"/>
            </w:pPr>
            <w:r>
              <w:rPr>
                <w:rFonts w:ascii="仿宋_GB2312" w:hAnsi="仿宋_GB2312" w:cs="仿宋_GB2312" w:eastAsia="仿宋_GB2312"/>
                <w:sz w:val="22"/>
                <w:shd w:fill="FFFFFF" w:val="clear"/>
              </w:rPr>
              <w:t>工程地点：采购人指定地点</w:t>
            </w:r>
          </w:p>
          <w:p>
            <w:pPr>
              <w:pStyle w:val="null3"/>
              <w:jc w:val="left"/>
            </w:pPr>
            <w:r>
              <w:rPr>
                <w:rFonts w:ascii="仿宋_GB2312" w:hAnsi="仿宋_GB2312" w:cs="仿宋_GB2312" w:eastAsia="仿宋_GB2312"/>
                <w:sz w:val="22"/>
                <w:shd w:fill="FFFFFF" w:val="clear"/>
              </w:rPr>
              <w:t>工程范围：磋商文件及工程量清单范围内的全部工作</w:t>
            </w:r>
          </w:p>
          <w:p>
            <w:pPr>
              <w:pStyle w:val="null3"/>
              <w:jc w:val="left"/>
            </w:pPr>
            <w:r>
              <w:rPr>
                <w:rFonts w:ascii="仿宋_GB2312" w:hAnsi="仿宋_GB2312" w:cs="仿宋_GB2312" w:eastAsia="仿宋_GB2312"/>
                <w:sz w:val="22"/>
                <w:shd w:fill="FFFFFF" w:val="clear"/>
              </w:rPr>
              <w:t>质量标准：符合国家现行有关施工质量验收规范</w:t>
            </w:r>
            <w:r>
              <w:rPr>
                <w:rFonts w:ascii="仿宋_GB2312" w:hAnsi="仿宋_GB2312" w:cs="仿宋_GB2312" w:eastAsia="仿宋_GB2312"/>
                <w:sz w:val="22"/>
                <w:shd w:fill="FFFFFF" w:val="clear"/>
              </w:rPr>
              <w:t>“合格”要求标准</w:t>
            </w:r>
          </w:p>
          <w:p>
            <w:pPr>
              <w:pStyle w:val="null3"/>
              <w:jc w:val="left"/>
            </w:pPr>
            <w:r>
              <w:rPr>
                <w:rFonts w:ascii="仿宋_GB2312" w:hAnsi="仿宋_GB2312" w:cs="仿宋_GB2312" w:eastAsia="仿宋_GB2312"/>
                <w:sz w:val="22"/>
                <w:shd w:fill="FFFFFF" w:val="clear"/>
              </w:rPr>
              <w:t>付款方式：待财政资金下达后按如下约定执行：</w:t>
            </w:r>
            <w:r>
              <w:rPr>
                <w:rFonts w:ascii="仿宋_GB2312" w:hAnsi="仿宋_GB2312" w:cs="仿宋_GB2312" w:eastAsia="仿宋_GB2312"/>
                <w:sz w:val="22"/>
                <w:shd w:fill="FFFFFF" w:val="clear"/>
              </w:rPr>
              <w:t>(1)预付款支付：合同签订后1个月内，乙方进驻施工现场开工后，达到付款条件起20日内，支付合同总金额的30.00%；</w:t>
            </w:r>
          </w:p>
          <w:p>
            <w:pPr>
              <w:pStyle w:val="null3"/>
              <w:jc w:val="left"/>
            </w:pPr>
            <w:r>
              <w:rPr>
                <w:rFonts w:ascii="仿宋_GB2312" w:hAnsi="仿宋_GB2312" w:cs="仿宋_GB2312" w:eastAsia="仿宋_GB2312"/>
                <w:sz w:val="22"/>
                <w:shd w:fill="FFFFFF" w:val="clear"/>
              </w:rPr>
              <w:t>(2)工程进度款的支付：按照工程施工进度，经发包方会同监理核定工程量后，上报工程进度款支付的相关资料，并经监理及发包方审核审批后，项目资金下达后，达到付款条件起60日内，支付合同总金额的50.00%；</w:t>
            </w:r>
          </w:p>
          <w:p>
            <w:pPr>
              <w:pStyle w:val="null3"/>
            </w:pPr>
            <w:r>
              <w:rPr>
                <w:rFonts w:ascii="仿宋_GB2312" w:hAnsi="仿宋_GB2312" w:cs="仿宋_GB2312" w:eastAsia="仿宋_GB2312"/>
                <w:sz w:val="22"/>
                <w:shd w:fill="FFFFFF" w:val="clear"/>
              </w:rPr>
              <w:t>(3)工程完工工程款的支付：按照完工工程量据实结算，经审计部门对工程量进行结算审核后，支付至工程量结算审定金额，项目资金下达后，达到付款条件起60日内，支付合同总金额的20.00%。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满足磋商文件中要求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满足磋商文件中要求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（1）本工程采用招标控制价电子版本：天宇e算水利水电工程概预算系统(西安市招投标/支持2024年修正)版本V1.2.2 （2）若工程量清单与图纸存在不一致，以工程量清单为准。 （3）成交单位在领取成交通知书前，须向采购代理机构提供纸质版响应文件3套（1正2副），且提供的响应文件必须与在陕西省政府采购综合管理平台的项目电子化交易系统中递交的电子响应文件内容一致，纸质版响应文件必须装订成册签字盖章。 （4）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dinghuijiacheng@163.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 1.提供合格有效的法人或者其他组织的营业执照等证明文件，自然人的身份证明（供应商是法人或其他组织的应提供营业执照等证明文件，供应商是自然人的应提供有效的自然人身份证明）； 2.提供2023年度或2024年度经审计的财务报告（包括审计报告、资产负债表、利润表、现金流量表、所有者权益变动表（没有可不提供）及附注，成立时间至投标文件提交截止时间不足一年的可提供成立后任意时段的资产负债表，或投标文件提交截止时间前三个月内其基本存款账户开户银行出具的资信证明及基本存款账户信息（以上两种形式的资料提供任何一种即可）； 3.提供具有履行合同所必需的设备和专业技术能力的承诺； 4.提供投标文件递交截止时间前一年内已缴纳的至少一个月的纳税证明或完税证明（增值税、营业税、企业所得税至少提供一种），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2023年度或2024年度经审计的财务报告（包括审计报告、资产负债表、利润表、现金流量表、所有者权益变动表（没有可不提供）及附注，成立时间至投标文件提交截止时间不足一年的可提供成立后任意时段的资产负债表，或投标文件提交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供应商须具备行业主管部门颁发的市政公用工程施工总承包三级（含三级）及以上资质并具有有效的安全生产许可证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行业主管部门颁发的市政公用工程专业二级（含二级）及以上注册建造师资格及有效的安全生产考核合格证书（B证），在供应商单位注册，且无在建项目（提供项目经理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资格证明文件.docx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报价唯一，未超预算</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是否符合磋商文件中要求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投标方案.docx 已标价工程量清单 项目管理机构组成表 报价函 技术服务合同条款及其他商务要求应答表 标的清单 供应商类似项目业绩一览表 响应函 主要人员简历表 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现场准备③施工平面布置与安排：现场围挡及收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供应商提供2022年11月1日起至今的类似业绩证明材料，时间以合同签订日期为准，（文件中附合同复印件），每提供一项上述业绩的得2分，最高得6分。不提供或缺项不得分。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