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版本号：HYGH2025-ZCCS-121420251210001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2025年救助物资（米、面、油）采购项目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HYGH2025-ZCCS-1214</w:t>
      </w:r>
      <w:r>
        <w:br/>
      </w:r>
      <w:r>
        <w:br/>
      </w:r>
      <w:r>
        <w:br/>
      </w:r>
    </w:p>
    <w:p>
      <w:pPr>
        <w:pStyle w:val="null3"/>
        <w:jc w:val="center"/>
        <w:outlineLvl w:val="2"/>
      </w:pPr>
      <w:r>
        <w:rPr>
          <w:rFonts w:ascii="仿宋_GB2312" w:hAnsi="仿宋_GB2312" w:cs="仿宋_GB2312" w:eastAsia="仿宋_GB2312"/>
          <w:sz w:val="28"/>
          <w:b/>
        </w:rPr>
        <w:t>西安市周至县民政局（本级）</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西安市周至县民政局（本级）</w:t>
      </w:r>
      <w:r>
        <w:rPr>
          <w:rFonts w:ascii="仿宋_GB2312" w:hAnsi="仿宋_GB2312" w:cs="仿宋_GB2312" w:eastAsia="仿宋_GB2312"/>
        </w:rPr>
        <w:t>委托，拟对</w:t>
      </w:r>
      <w:r>
        <w:rPr>
          <w:rFonts w:ascii="仿宋_GB2312" w:hAnsi="仿宋_GB2312" w:cs="仿宋_GB2312" w:eastAsia="仿宋_GB2312"/>
        </w:rPr>
        <w:t>2025年救助物资（米、面、油）采购项目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HYGH2025-ZCCS-1214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2025年救助物资（米、面、油）采购项目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2025年救助物资（米、面、油）采购项目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6、信用记录查询：供应商通过“信用中国”网站(www.creditchina.gov.cn)、中国政府采购网(www.ccgp.gov.cn)等查询相关主体信用记录；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9、供应商资格要求：若投标人为生产厂家，须提供有效的《食品生产许可证》或《食品经营许可证》；若投标人为代理商的须提供有效的《食品经营许可证》并提供生产厂家有效的《食品生产许可证》；</w:t>
      </w:r>
    </w:p>
    <w:p>
      <w:pPr>
        <w:pStyle w:val="null3"/>
      </w:pPr>
      <w:r>
        <w:rPr>
          <w:rFonts w:ascii="仿宋_GB2312" w:hAnsi="仿宋_GB2312" w:cs="仿宋_GB2312" w:eastAsia="仿宋_GB2312"/>
        </w:rPr>
        <w:t>10、本项目不接受联合体磋商：本项目不接受联合体磋商（提供承诺书）。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15319937789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西安市周至县民政局（本级）</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符合国家法律法规及行业要求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2025年救助物资（米、面、油）采购项目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618,000.00</w:t>
      </w:r>
    </w:p>
    <w:p>
      <w:pPr>
        <w:pStyle w:val="null3"/>
      </w:pPr>
      <w:r>
        <w:rPr>
          <w:rFonts w:ascii="仿宋_GB2312" w:hAnsi="仿宋_GB2312" w:cs="仿宋_GB2312" w:eastAsia="仿宋_GB2312"/>
        </w:rPr>
        <w:t>采购包最高限价（元）: 618,000.00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2025年救助物资（米、面、油）采购项目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标的名称：2025年救助物资（米、面、油）采购项目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、采购内容</w:t>
            </w:r>
          </w:p>
          <w:tbl>
            <w:tblPr>
              <w:tblBorders>
                <w:top w:val="none" w:color="000000" w:sz="4"/>
                <w:left w:val="none" w:color="000000" w:sz="4"/>
                <w:bottom w:val="none" w:color="000000" w:sz="4"/>
                <w:right w:val="none" w:color="000000" w:sz="4"/>
                <w:insideH w:val="none"/>
                <w:insideV w:val="none"/>
              </w:tblBorders>
            </w:tblPr>
            <w:tblGrid>
              <w:gridCol w:w="850"/>
              <w:gridCol w:w="851"/>
              <w:gridCol w:w="851"/>
            </w:tblGrid>
            <w:tr>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大米</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面粉</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食用油</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5升</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bl>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、质量标准</w:t>
            </w:r>
          </w:p>
          <w:p>
            <w:pPr>
              <w:pStyle w:val="null3"/>
              <w:jc w:val="both"/>
            </w:pPr>
            <w:r>
              <w:rPr>
                <w:rFonts w:ascii="仿宋_GB2312" w:hAnsi="仿宋_GB2312" w:cs="仿宋_GB2312" w:eastAsia="仿宋_GB2312"/>
                <w:sz w:val="24"/>
              </w:rPr>
              <w:t>大米符合：</w:t>
            </w:r>
            <w:r>
              <w:rPr>
                <w:rFonts w:ascii="仿宋_GB2312" w:hAnsi="仿宋_GB2312" w:cs="仿宋_GB2312" w:eastAsia="仿宋_GB2312"/>
                <w:sz w:val="24"/>
              </w:rPr>
              <w:t>GB/T1354国家标准 质量等级：一级</w:t>
            </w:r>
          </w:p>
          <w:p>
            <w:pPr>
              <w:pStyle w:val="null3"/>
              <w:jc w:val="both"/>
            </w:pPr>
            <w:r>
              <w:rPr>
                <w:rFonts w:ascii="仿宋_GB2312" w:hAnsi="仿宋_GB2312" w:cs="仿宋_GB2312" w:eastAsia="仿宋_GB2312"/>
                <w:sz w:val="24"/>
              </w:rPr>
              <w:t>营养成分大于等于下表：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w:t>
                  </w:r>
                  <w:r>
                    <w:rPr>
                      <w:rFonts w:ascii="仿宋_GB2312" w:hAnsi="仿宋_GB2312" w:cs="仿宋_GB2312" w:eastAsia="仿宋_GB2312"/>
                      <w:sz w:val="24"/>
                    </w:rPr>
                    <w:t>100克(g)</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NRV%</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能量</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1421千焦（KJ）</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蛋白质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6.4克（g）</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碳水化合物</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77.2克%（g）</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r>
          </w:tbl>
          <w:p>
            <w:pPr>
              <w:pStyle w:val="null3"/>
              <w:jc w:val="both"/>
            </w:pPr>
            <w:r>
              <w:rPr>
                <w:rFonts w:ascii="仿宋_GB2312" w:hAnsi="仿宋_GB2312" w:cs="仿宋_GB2312" w:eastAsia="仿宋_GB2312"/>
                <w:sz w:val="24"/>
              </w:rPr>
              <w:t>面粉符合：</w:t>
            </w:r>
            <w:r>
              <w:rPr>
                <w:rFonts w:ascii="仿宋_GB2312" w:hAnsi="仿宋_GB2312" w:cs="仿宋_GB2312" w:eastAsia="仿宋_GB2312"/>
                <w:sz w:val="24"/>
              </w:rPr>
              <w:t>GB/T1355国家标准 质量等级：精制粉</w:t>
            </w:r>
          </w:p>
          <w:p>
            <w:pPr>
              <w:pStyle w:val="null3"/>
              <w:jc w:val="both"/>
            </w:pPr>
            <w:r>
              <w:rPr>
                <w:rFonts w:ascii="仿宋_GB2312" w:hAnsi="仿宋_GB2312" w:cs="仿宋_GB2312" w:eastAsia="仿宋_GB2312"/>
                <w:sz w:val="24"/>
              </w:rPr>
              <w:t>营养成分大于等于下表：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w:t>
                  </w:r>
                  <w:r>
                    <w:rPr>
                      <w:rFonts w:ascii="仿宋_GB2312" w:hAnsi="仿宋_GB2312" w:cs="仿宋_GB2312" w:eastAsia="仿宋_GB2312"/>
                      <w:sz w:val="24"/>
                    </w:rPr>
                    <w:t>100克(g)</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NRV%</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能量</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1493千焦（KJ）</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蛋白质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10.7克（g）</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碳水化合物</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74.1克（g）</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bl>
          <w:p>
            <w:pPr>
              <w:pStyle w:val="null3"/>
              <w:jc w:val="both"/>
            </w:pPr>
            <w:r>
              <w:rPr>
                <w:rFonts w:ascii="仿宋_GB2312" w:hAnsi="仿宋_GB2312" w:cs="仿宋_GB2312" w:eastAsia="仿宋_GB2312"/>
                <w:sz w:val="24"/>
              </w:rPr>
              <w:t>食用油符合：</w:t>
            </w:r>
            <w:r>
              <w:rPr>
                <w:rFonts w:ascii="仿宋_GB2312" w:hAnsi="仿宋_GB2312" w:cs="仿宋_GB2312" w:eastAsia="仿宋_GB2312"/>
                <w:sz w:val="24"/>
              </w:rPr>
              <w:t>GB/1536国家标准</w:t>
            </w:r>
          </w:p>
          <w:p>
            <w:pPr>
              <w:pStyle w:val="null3"/>
              <w:jc w:val="both"/>
            </w:pPr>
            <w:r>
              <w:rPr>
                <w:rFonts w:ascii="仿宋_GB2312" w:hAnsi="仿宋_GB2312" w:cs="仿宋_GB2312" w:eastAsia="仿宋_GB2312"/>
                <w:sz w:val="24"/>
              </w:rPr>
              <w:t>质量等级：一级</w:t>
            </w:r>
          </w:p>
          <w:p>
            <w:pPr>
              <w:pStyle w:val="null3"/>
              <w:jc w:val="both"/>
            </w:pPr>
            <w:r>
              <w:rPr>
                <w:rFonts w:ascii="仿宋_GB2312" w:hAnsi="仿宋_GB2312" w:cs="仿宋_GB2312" w:eastAsia="仿宋_GB2312"/>
                <w:sz w:val="24"/>
              </w:rPr>
              <w:t>原料：非转基因油菜籽</w:t>
            </w:r>
          </w:p>
          <w:p>
            <w:pPr>
              <w:pStyle w:val="null3"/>
              <w:jc w:val="both"/>
            </w:pPr>
            <w:r>
              <w:rPr>
                <w:rFonts w:ascii="仿宋_GB2312" w:hAnsi="仿宋_GB2312" w:cs="仿宋_GB2312" w:eastAsia="仿宋_GB2312"/>
                <w:sz w:val="24"/>
              </w:rPr>
              <w:t>加工方法：压榨法</w:t>
            </w:r>
          </w:p>
          <w:p>
            <w:pPr>
              <w:pStyle w:val="null3"/>
              <w:jc w:val="both"/>
            </w:pPr>
            <w:r>
              <w:rPr>
                <w:rFonts w:ascii="仿宋_GB2312" w:hAnsi="仿宋_GB2312" w:cs="仿宋_GB2312" w:eastAsia="仿宋_GB2312"/>
                <w:sz w:val="24"/>
              </w:rPr>
              <w:t>营养成分应大于等于下表：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100克(g)</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NRV%</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能量</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3696千焦（KJ)</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44%</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脂肪</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99.9克(g)</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167%</w:t>
                  </w:r>
                </w:p>
              </w:tc>
            </w:tr>
          </w:tbl>
          <w:p>
            <w:pPr>
              <w:pStyle w:val="null3"/>
              <w:jc w:val="both"/>
            </w:pPr>
            <w:r>
              <w:rPr>
                <w:rFonts w:ascii="仿宋_GB2312" w:hAnsi="仿宋_GB2312" w:cs="仿宋_GB2312" w:eastAsia="仿宋_GB2312"/>
                <w:sz w:val="24"/>
              </w:rPr>
              <w:t>3、配送要求</w:t>
            </w:r>
          </w:p>
          <w:p>
            <w:pPr>
              <w:pStyle w:val="null3"/>
              <w:jc w:val="both"/>
            </w:pPr>
            <w:r>
              <w:rPr>
                <w:rFonts w:ascii="仿宋_GB2312" w:hAnsi="仿宋_GB2312" w:cs="仿宋_GB2312" w:eastAsia="仿宋_GB2312"/>
                <w:sz w:val="24"/>
              </w:rPr>
              <w:t>年底组织统一配送</w:t>
            </w:r>
            <w:r>
              <w:rPr>
                <w:rFonts w:ascii="仿宋_GB2312" w:hAnsi="仿宋_GB2312" w:cs="仿宋_GB2312" w:eastAsia="仿宋_GB2312"/>
                <w:sz w:val="24"/>
              </w:rPr>
              <w:t>20个镇街，其余时间根据是否有灾情不定期向全县20个镇（街）政府配送。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年（具体根据实际使用需求供货，在接到供货通知后 2 日内送至指定地点）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完成采购需求后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大米质保期：6 个月。 面粉质保期：6 个月。 食用油质保期：12 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若投标人为生产厂家，须提供有效的《食品生产许可证》或《食品经营许可证》；若投标人为代理商的须提供有效的《食品经营许可证》并提供生产厂家有效的《食品生产许可证》；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业绩一览表.docx 中小企业声明函 商务应答表 报价表 响应文件封面 产品技术参数表 分项报价表.docx 供应商应提交的相关资格证明材料.docx 残疾人福利性单位声明函 标的清单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业绩一览表.docx 中小企业声明函 商务应答表 报价表 响应文件封面 产品技术参数表 分项报价表.docx 供应商应提交的相关资格证明材料.docx 残疾人福利性单位声明函 标的清单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只能有一个有效价，不得提交选择性报价，且报价不得超过最高价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技术参数满足采购需求质量标准要求，没有负偏离的得基础分10分。每负偏离一项扣2分。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针对本项目制定详细的服务方案，包含①供货方案，②配送安全，③配送时间，④配送流程；⑤配送车辆。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 ⑤配送车辆：每完全满足一个评审标准得1分，满分3分；未提供不得分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食材安全、质量管理方案</w:t>
            </w:r>
          </w:p>
        </w:tc>
        <w:tc>
          <w:tcPr>
            <w:tcW w:type="dxa" w:w="2492"/>
          </w:tcPr>
          <w:p>
            <w:pPr>
              <w:pStyle w:val="null3"/>
            </w:pPr>
            <w:r>
              <w:rPr>
                <w:rFonts w:ascii="仿宋_GB2312" w:hAnsi="仿宋_GB2312" w:cs="仿宋_GB2312" w:eastAsia="仿宋_GB2312"/>
              </w:rPr>
              <w:t>一、评审内容 针对本项目制定详细的食材安全管理方案，包含①食品质量（渠道来源正规）①详细的安全责任划分标准；②安全管理方案。 二、评审标准 1.完整性：方案必须全面，对评审内容中的各项要求有详细描述； 2.合理性：切合项目具体情况，提出责任明确、要求具体的方案； 3.针对性：方案能够紧扣项目实际情况，内容科学合理。 三、赋分依据 ①食品质量（渠道来源正规）：每完全满足一个评审标准得1分，满分3分；未提供不得分； ②详细的安全责任划分标准：每完全满足一个评审标准得1分，满分3分；未提供不得分； ③安全管理方案。：每完全满足一个评审标准得1分，满分3分；未提供不得分；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一、评审内容 针对本项目制定详细的时效保障措施，包含①采买时间及运输路线计划；②响应的及时性。 二、评审标准 1.完整性：方案必须全面，对评审内容中的各项要求有详细描述； 2.合理性：切合项目具体情况，提出责任明确、要求具体的方案； 3.针对性：方案能够紧扣项目实际情况，内容科学合理。 三、赋分依据 ①采买时间及运输路线计划：每完全满足一个评审标准得1分，满分3分；未提供不得分； ②响应的及时性：每完全满足一个评审标准得1分，满分3分；未提供不得分；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针对本项目制定详细的应急方案，包含①恶劣天气的影响；②食品安全事故；③采购人临时的采购需求。 二、评审标准 1.完整性：方案必须全面，对评审内容中的各项要求有详细描述； 2.合理性：切合项目具体情况，提出责任明确、要求具体的方案； 3.针对性：方案能够紧扣项目实际情况，内容科学合理。 三、赋分依据 ①恶劣天气的影响：每完全满足一个评审标准得1分，满分3分；未提供不得分； ②食品安全事故：每完全满足一个评审标准得1分，满分3分；未提供不得分； ③采购人临时的采购需求：每完全满足一个评审标准得1分，满分3分；未提供不得分；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3.针对性：方案能够紧扣项目实际情况，内容科学合理。 三、赋分依据 ①对食材的退换货问题：每完全满足一个评审标准得1分，满分3分；未提供不得分； ②食材的质量问题：每完全满足一个评审标准得1分，满分3分；未提供不得分； ③食材的安全问题：每完全满足一个评审标准得1分，满分3分；未提供不得分：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一、评审内容 针对本项目投入人员，包含①人员构成及数量 ②岗位职责。 二、评审标准 1.完整性：方案必须全面，对评审内容中的各项要求有详细描述； 2.合理性：切合项目具体情况，提出责任明确、要求具体的方案； 3.针对性：方案能够紧扣项目实际情况，内容科学合理。 三、赋分依据 ①人员构成及数量：每完全满足一个评审标准得1分，满分3分；未提供不得分； ②岗位职责：每完全满足一个评审标准得1分，满分3分；未提供不得分。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提供2023年1月1日至今类似项目业绩，业绩以合同为依据，以合同签订时间为准，每提供一个业绩证明计2分，满分6分。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