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版本号：YZZB-25107.1B120251208001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2025年城区道路空洞病害探测及桥梁检测项目(二次)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YZZB-25107.1B1</w:t>
      </w:r>
      <w:r>
        <w:br/>
      </w:r>
      <w:r>
        <w:br/>
      </w:r>
      <w:r>
        <w:br/>
      </w:r>
    </w:p>
    <w:p>
      <w:pPr>
        <w:pStyle w:val="null3"/>
        <w:jc w:val="center"/>
        <w:outlineLvl w:val="2"/>
      </w:pPr>
      <w:r>
        <w:rPr>
          <w:rFonts w:ascii="仿宋_GB2312" w:hAnsi="仿宋_GB2312" w:cs="仿宋_GB2312" w:eastAsia="仿宋_GB2312"/>
          <w:sz w:val="28"/>
          <w:b/>
        </w:rPr>
        <w:t>西安市周至县城镇市政工程管理处</w:t>
      </w:r>
    </w:p>
    <w:p>
      <w:pPr>
        <w:pStyle w:val="null3"/>
        <w:jc w:val="center"/>
        <w:outlineLvl w:val="2"/>
      </w:pPr>
      <w:r>
        <w:rPr>
          <w:rFonts w:ascii="仿宋_GB2312" w:hAnsi="仿宋_GB2312" w:cs="仿宋_GB2312" w:eastAsia="仿宋_GB2312"/>
          <w:sz w:val="28"/>
          <w:b/>
        </w:rPr>
        <w:t>易臻项目管理有限公司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易臻项目管理有限公司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西安市周至县城镇市政工程管理处</w:t>
      </w:r>
      <w:r>
        <w:rPr>
          <w:rFonts w:ascii="仿宋_GB2312" w:hAnsi="仿宋_GB2312" w:cs="仿宋_GB2312" w:eastAsia="仿宋_GB2312"/>
        </w:rPr>
        <w:t>委托，拟对</w:t>
      </w:r>
      <w:r>
        <w:rPr>
          <w:rFonts w:ascii="仿宋_GB2312" w:hAnsi="仿宋_GB2312" w:cs="仿宋_GB2312" w:eastAsia="仿宋_GB2312"/>
        </w:rPr>
        <w:t>2025年城区道路空洞病害探测及桥梁检测项目(二次)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YZZB-25107.1B1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2025年城区道路空洞病害探测及桥梁检测项目(二次)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西安市不断加强城市建设，提高城市风貌，城市地下空间的利用越来越广泛，伴随而来的与人类活动 关系密切的“城市地陷 ”发生率也越来越高，经过专业部门调查，很多城市出现的“地陷 ”都与人类地下 工程活动有很大关系。 城市地下空间的开发利用力度不断加大，城市地铁、地下管廊、地下停车场、地下商场等大型地下工 程越来越多，这些工程施工不可避免地对周边岩土体造成了一定程度的扰动，使其稳定性和承载力变差。 西安市作为陕西省省会城市，其建设发展速度尤为迅速，在促进城市发展的同时，对浅层地质结构的扰动 作用也逐渐显现，加之西安市浅层岩土以湿陷性黄土为主，降雨、给排水管道破损等因素的推波助澜，使 得西安市在雨季易发生道路塌陷等浅层地质灾害。尤其是2018 年以来，发生了多起道路塌陷事故，严重 影响了城市正常运转和人民群众的生产生活秩序、威胁了人民的生命财产安全。 按照西安市政府办公厅《关于开展城市道路地下空洞探测整治工作的通知》、市城管局《关于西安市 城市道路地下空洞探测整治方案的函》及西安市城市体检工作相关要求，对主城区石桥路、南环路、工业路等27条主干路、次干路预计测线100 公里进行地下空洞探测及大寨路沙河桥、盈泰沙河桥两座大桥进行检测服务；具体内容详见磋商文件“第三章 服务内容及服务要求”。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采购包1（2025年城区道路空洞病害探测及桥梁检测项目（二次））：属于专门面向中小企业采购。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等国家规定的相关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2023年度或2024年度经审计的财务报告：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4、社保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5、供应商资质：供应商须具有行业主管部门颁发的合格有效的工程勘察专业类乙级及以上资质(物探测试检测监测) 或测绘行政主管部门颁发的乙级及以上测绘资质(资质范围须包含摄影测量与遥感和工程测量)或市场监督管理部门颁发的检验检测机构资质认定证书（CMA）。</w:t>
      </w:r>
    </w:p>
    <w:p>
      <w:pPr>
        <w:pStyle w:val="null3"/>
      </w:pPr>
      <w:r>
        <w:rPr>
          <w:rFonts w:ascii="仿宋_GB2312" w:hAnsi="仿宋_GB2312" w:cs="仿宋_GB2312" w:eastAsia="仿宋_GB2312"/>
        </w:rPr>
        <w:t>6、履行本合同所必需的设备和专业技术能力：提供具有履行本合同所必需的设备和专业技术能力的声明；</w:t>
      </w:r>
    </w:p>
    <w:p>
      <w:pPr>
        <w:pStyle w:val="null3"/>
      </w:pPr>
      <w:r>
        <w:rPr>
          <w:rFonts w:ascii="仿宋_GB2312" w:hAnsi="仿宋_GB2312" w:cs="仿宋_GB2312" w:eastAsia="仿宋_GB2312"/>
        </w:rPr>
        <w:t>7、出具参加政府采购活动前3年内在经营活动中没有重大违法记录的书面声明：出具参加政府采购活动前3年内在经营活动中没有重大违法记录的书面声明；</w:t>
      </w:r>
    </w:p>
    <w:p>
      <w:pPr>
        <w:pStyle w:val="null3"/>
      </w:pPr>
      <w:r>
        <w:rPr>
          <w:rFonts w:ascii="仿宋_GB2312" w:hAnsi="仿宋_GB2312" w:cs="仿宋_GB2312" w:eastAsia="仿宋_GB2312"/>
        </w:rPr>
        <w:t>8、法定代表人授权书：须提供法定代表人授权书（法定代表人或负责人直接投标，须提交法定代表人证明书）并提供开标前三月内任意一个月的法人或授权人社保缴纳证明；</w:t>
      </w:r>
    </w:p>
    <w:p>
      <w:pPr>
        <w:pStyle w:val="null3"/>
      </w:pPr>
      <w:r>
        <w:rPr>
          <w:rFonts w:ascii="仿宋_GB2312" w:hAnsi="仿宋_GB2312" w:cs="仿宋_GB2312" w:eastAsia="仿宋_GB2312"/>
        </w:rPr>
        <w:t>9、信誉：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10、本项目不接受联合体投标：本项目不接受联合体投标承诺。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西安市周至县城镇市政工程管理处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周至县药厂路4号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汪柳媚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87111028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易臻项目管理有限公司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陕西省西安市雁塔区雁展路1111号西安·莱安中心T7栋1005室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潘政伟/董青青/王恩全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029-88867482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采购包1：532,700.00元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展计划委员会计价格[2002]1980号、发改办价格［2003］857号规定，依据发改价格[2015]299号文件规定标准计取该项目的招标代理服务费，经双方协商，由成交单位支付招标代理服务费，发放成交通知书时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西安市周至县城镇市政工程管理处</w:t>
      </w:r>
      <w:r>
        <w:rPr>
          <w:rFonts w:ascii="仿宋_GB2312" w:hAnsi="仿宋_GB2312" w:cs="仿宋_GB2312" w:eastAsia="仿宋_GB2312"/>
        </w:rPr>
        <w:t>和</w:t>
      </w:r>
      <w:r>
        <w:rPr>
          <w:rFonts w:ascii="仿宋_GB2312" w:hAnsi="仿宋_GB2312" w:cs="仿宋_GB2312" w:eastAsia="仿宋_GB2312"/>
        </w:rPr>
        <w:t>易臻项目管理有限公司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西安市周至县城镇市政工程管理处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易臻项目管理有限公司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西安市周至县城镇市政工程管理处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易臻项目管理有限公司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符合现行的国家相关标准或国家行政部门颁发的相关法律法规、规章制度等。没有国家标准的，需符合相关行业标准要求。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联系人：潘政伟/董青青/王恩全</w:t>
      </w:r>
    </w:p>
    <w:p>
      <w:pPr>
        <w:pStyle w:val="null3"/>
      </w:pPr>
      <w:r>
        <w:rPr>
          <w:rFonts w:ascii="仿宋_GB2312" w:hAnsi="仿宋_GB2312" w:cs="仿宋_GB2312" w:eastAsia="仿宋_GB2312"/>
        </w:rPr>
        <w:t>联系电话：029-88867482</w:t>
      </w:r>
    </w:p>
    <w:p>
      <w:pPr>
        <w:pStyle w:val="null3"/>
      </w:pPr>
      <w:r>
        <w:rPr>
          <w:rFonts w:ascii="仿宋_GB2312" w:hAnsi="仿宋_GB2312" w:cs="仿宋_GB2312" w:eastAsia="仿宋_GB2312"/>
        </w:rPr>
        <w:t>地址：陕西省西安市曲江新区雁展路1111号莱安中心T7栋1005室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为防范路面塌陷风险，消除影响人民群众生命财产安全的危险，拟开展道路空洞病害及桥梁检测工作</w:t>
      </w:r>
      <w:r>
        <w:rPr>
          <w:rFonts w:ascii="仿宋_GB2312" w:hAnsi="仿宋_GB2312" w:cs="仿宋_GB2312" w:eastAsia="仿宋_GB2312"/>
          <w:sz w:val="21"/>
        </w:rPr>
        <w:t>。</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532,700.00</w:t>
      </w:r>
    </w:p>
    <w:p>
      <w:pPr>
        <w:pStyle w:val="null3"/>
      </w:pPr>
      <w:r>
        <w:rPr>
          <w:rFonts w:ascii="仿宋_GB2312" w:hAnsi="仿宋_GB2312" w:cs="仿宋_GB2312" w:eastAsia="仿宋_GB2312"/>
        </w:rPr>
        <w:t>采购包最高限价（元）: 532,700.00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2025年城区道路空洞病害探测及桥梁检测项目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532,700.00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标的名称：2025年城区道路空洞病害探测及桥梁检测项目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为防范路面塌陷风险，消除影响人民群众生命财产安全的危险，拟开展道路空洞病害及桥梁检测工作</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1、检测范围</w:t>
            </w:r>
          </w:p>
          <w:p>
            <w:pPr>
              <w:pStyle w:val="null3"/>
              <w:ind w:firstLine="240"/>
              <w:jc w:val="left"/>
            </w:pPr>
            <w:r>
              <w:rPr>
                <w:rFonts w:ascii="仿宋_GB2312" w:hAnsi="仿宋_GB2312" w:cs="仿宋_GB2312" w:eastAsia="仿宋_GB2312"/>
                <w:sz w:val="24"/>
              </w:rPr>
              <w:t>本项目</w:t>
            </w:r>
            <w:r>
              <w:rPr>
                <w:rFonts w:ascii="仿宋_GB2312" w:hAnsi="仿宋_GB2312" w:cs="仿宋_GB2312" w:eastAsia="仿宋_GB2312"/>
                <w:sz w:val="24"/>
              </w:rPr>
              <w:t>检测范围为周至县</w:t>
            </w:r>
            <w:r>
              <w:rPr>
                <w:rFonts w:ascii="仿宋_GB2312" w:hAnsi="仿宋_GB2312" w:cs="仿宋_GB2312" w:eastAsia="仿宋_GB2312"/>
                <w:sz w:val="24"/>
              </w:rPr>
              <w:t>城区道路空洞病害深测及桥梁检测工作</w:t>
            </w:r>
            <w:r>
              <w:rPr>
                <w:rFonts w:ascii="仿宋_GB2312" w:hAnsi="仿宋_GB2312" w:cs="仿宋_GB2312" w:eastAsia="仿宋_GB2312"/>
                <w:sz w:val="24"/>
              </w:rPr>
              <w:t>，</w:t>
            </w:r>
            <w:r>
              <w:rPr>
                <w:rFonts w:ascii="仿宋_GB2312" w:hAnsi="仿宋_GB2312" w:cs="仿宋_GB2312" w:eastAsia="仿宋_GB2312"/>
                <w:sz w:val="24"/>
              </w:rPr>
              <w:t>具体工作以采购人委托任务单为准；对规定范围内全部道路</w:t>
            </w:r>
            <w:r>
              <w:rPr>
                <w:rFonts w:ascii="仿宋_GB2312" w:hAnsi="仿宋_GB2312" w:cs="仿宋_GB2312" w:eastAsia="仿宋_GB2312"/>
                <w:sz w:val="24"/>
              </w:rPr>
              <w:t>及桥梁</w:t>
            </w:r>
            <w:r>
              <w:rPr>
                <w:rFonts w:ascii="仿宋_GB2312" w:hAnsi="仿宋_GB2312" w:cs="仿宋_GB2312" w:eastAsia="仿宋_GB2312"/>
                <w:sz w:val="24"/>
              </w:rPr>
              <w:t>进行</w:t>
            </w:r>
            <w:r>
              <w:rPr>
                <w:rFonts w:ascii="仿宋_GB2312" w:hAnsi="仿宋_GB2312" w:cs="仿宋_GB2312" w:eastAsia="仿宋_GB2312"/>
                <w:sz w:val="24"/>
              </w:rPr>
              <w:t>检测</w:t>
            </w:r>
            <w:r>
              <w:rPr>
                <w:rFonts w:ascii="仿宋_GB2312" w:hAnsi="仿宋_GB2312" w:cs="仿宋_GB2312" w:eastAsia="仿宋_GB2312"/>
                <w:sz w:val="24"/>
              </w:rPr>
              <w:t>，对检测出的病害位置及范围进行确定，并评定风险等级。</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检测内容</w:t>
            </w:r>
            <w:r>
              <w:rPr>
                <w:rFonts w:ascii="仿宋_GB2312" w:hAnsi="仿宋_GB2312" w:cs="仿宋_GB2312" w:eastAsia="仿宋_GB2312"/>
                <w:sz w:val="24"/>
              </w:rPr>
              <w:t>及要求</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主要</w:t>
            </w:r>
            <w:r>
              <w:rPr>
                <w:rFonts w:ascii="仿宋_GB2312" w:hAnsi="仿宋_GB2312" w:cs="仿宋_GB2312" w:eastAsia="仿宋_GB2312"/>
                <w:sz w:val="24"/>
              </w:rPr>
              <w:t>内容</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道路空洞检测：精准识别路基空洞、脱空等隐患，采用地质雷达监测数据采集，解译等技术服务，预防路面塌陷，保障通行安全及道路运维效率。</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桥梁检测</w:t>
            </w:r>
            <w:r>
              <w:rPr>
                <w:rFonts w:ascii="仿宋_GB2312" w:hAnsi="仿宋_GB2312" w:cs="仿宋_GB2312" w:eastAsia="仿宋_GB2312"/>
                <w:sz w:val="24"/>
              </w:rPr>
              <w:t>：</w:t>
            </w:r>
            <w:r>
              <w:rPr>
                <w:rFonts w:ascii="仿宋_GB2312" w:hAnsi="仿宋_GB2312" w:cs="仿宋_GB2312" w:eastAsia="仿宋_GB2312"/>
                <w:sz w:val="24"/>
              </w:rPr>
              <w:t>桥面系检测、上部结构检测、下部结构检测、综合评定技术状况等级，评估结构健康状态，识别裂缝、锈蚀等病害，把控承载能力，指导养护维修与安全管控。需满足的要求为精准识隐患、数据可追溯、合规达标、支撑决策，保障道路桥梁安全运行及车辆及行人出行安全</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2.2道路检测要求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组织专业力量对城区重点路段实施全覆盖排查，范围涵盖石桥路、南环路、工业路等</w:t>
            </w:r>
            <w:r>
              <w:rPr>
                <w:rFonts w:ascii="仿宋_GB2312" w:hAnsi="仿宋_GB2312" w:cs="仿宋_GB2312" w:eastAsia="仿宋_GB2312"/>
                <w:sz w:val="24"/>
              </w:rPr>
              <w:t>27</w:t>
            </w:r>
            <w:r>
              <w:rPr>
                <w:rFonts w:ascii="仿宋_GB2312" w:hAnsi="仿宋_GB2312" w:cs="仿宋_GB2312" w:eastAsia="仿宋_GB2312"/>
                <w:sz w:val="24"/>
              </w:rPr>
              <w:t>条主干路、次干路预计测线</w:t>
            </w:r>
            <w:r>
              <w:rPr>
                <w:rFonts w:ascii="仿宋_GB2312" w:hAnsi="仿宋_GB2312" w:cs="仿宋_GB2312" w:eastAsia="仿宋_GB2312"/>
                <w:sz w:val="24"/>
              </w:rPr>
              <w:t>100公里进行地下空洞探测</w:t>
            </w:r>
            <w:r>
              <w:rPr>
                <w:rFonts w:ascii="仿宋_GB2312" w:hAnsi="仿宋_GB2312" w:cs="仿宋_GB2312" w:eastAsia="仿宋_GB2312"/>
                <w:sz w:val="24"/>
              </w:rPr>
              <w:t>。排查工作紧扣塌陷高风险场景，重点针对沙土路基、填方区域等薄弱部位，细致核查地下异常、积水导致地基松动等潜在隐患，确保不留排查盲区、不漏风险点位。</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对排查发现的问题进行分类梳理，形成清晰的隐患清单。同步建立，安全隐患台账，详细记录每处隐患的具体位置、风险等级及成因，为后续精准整改、动态跟踪提供详实依据，实现隐患管理规范化、精细化。</w:t>
            </w:r>
          </w:p>
          <w:p>
            <w:pPr>
              <w:pStyle w:val="null3"/>
              <w:jc w:val="left"/>
            </w:pPr>
            <w:r>
              <w:rPr>
                <w:rFonts w:ascii="仿宋_GB2312" w:hAnsi="仿宋_GB2312" w:cs="仿宋_GB2312" w:eastAsia="仿宋_GB2312"/>
                <w:sz w:val="24"/>
              </w:rPr>
              <w:t>2.3桥梁检测要求</w:t>
            </w:r>
          </w:p>
          <w:p>
            <w:pPr>
              <w:pStyle w:val="null3"/>
              <w:numPr>
                <w:ilvl w:val="0"/>
                <w:numId w:val="1"/>
              </w:numPr>
              <w:jc w:val="left"/>
            </w:pPr>
            <w:r>
              <w:rPr>
                <w:rFonts w:ascii="仿宋_GB2312" w:hAnsi="仿宋_GB2312" w:cs="仿宋_GB2312" w:eastAsia="仿宋_GB2312"/>
                <w:sz w:val="24"/>
              </w:rPr>
              <w:t>组织专业力量对大寨路沙河桥、盈泰沙河桥</w:t>
            </w:r>
            <w:r>
              <w:rPr>
                <w:rFonts w:ascii="仿宋_GB2312" w:hAnsi="仿宋_GB2312" w:cs="仿宋_GB2312" w:eastAsia="仿宋_GB2312"/>
                <w:sz w:val="24"/>
              </w:rPr>
              <w:t>两座大桥进行检测服务。检测工作主要针对桥面系检查、上部结构检查、下部结构检查、综合评定技术状况等级，需系统性覆盖从桥面到基础的全结构，结合外观检查、无损检测、专业测绘等技术手段检测，确保其安全与耐久性。</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2）检测形成系统性的记录与成果，对发现的隐患问题建立详细清单，</w:t>
            </w:r>
            <w:r>
              <w:rPr>
                <w:rFonts w:ascii="仿宋_GB2312" w:hAnsi="仿宋_GB2312" w:cs="仿宋_GB2312" w:eastAsia="仿宋_GB2312"/>
                <w:sz w:val="24"/>
              </w:rPr>
              <w:t>为后续精准整改、动态跟踪提供详实依据，实现隐患管理规范化、精细化。</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依据及标准</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道路空洞病害探测依据及标准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1）《城镇地下空间探测与检测应用技术标准》(T/CMEA8-2020)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2）《激光探测仪和空气耦合探地雷达检测城镇道路路面应用技术标准》(T/CMEA9-2020)；</w:t>
            </w:r>
            <w:r>
              <w:br/>
            </w:r>
            <w:r>
              <w:rPr>
                <w:rFonts w:ascii="仿宋_GB2312" w:hAnsi="仿宋_GB2312" w:cs="仿宋_GB2312" w:eastAsia="仿宋_GB2312"/>
                <w:sz w:val="24"/>
              </w:rPr>
              <w:t>（</w:t>
            </w:r>
            <w:r>
              <w:rPr>
                <w:rFonts w:ascii="仿宋_GB2312" w:hAnsi="仿宋_GB2312" w:cs="仿宋_GB2312" w:eastAsia="仿宋_GB2312"/>
                <w:sz w:val="24"/>
              </w:rPr>
              <w:t>3）《道路塌陷隐患雷达检测技术导则》(RISN-TG024-2016)；</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4）《城市工程地球物理探测标准》(CJJ/T7-2017)</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5）《城镇道路养护技术规范》(CJJ36-2016)；</w:t>
            </w:r>
            <w:r>
              <w:br/>
            </w:r>
            <w:r>
              <w:rPr>
                <w:rFonts w:ascii="仿宋_GB2312" w:hAnsi="仿宋_GB2312" w:cs="仿宋_GB2312" w:eastAsia="仿宋_GB2312"/>
                <w:sz w:val="24"/>
              </w:rPr>
              <w:t>（</w:t>
            </w:r>
            <w:r>
              <w:rPr>
                <w:rFonts w:ascii="仿宋_GB2312" w:hAnsi="仿宋_GB2312" w:cs="仿宋_GB2312" w:eastAsia="仿宋_GB2312"/>
                <w:sz w:val="24"/>
              </w:rPr>
              <w:t>6）《城市地下管线探测技术规程》(CJJ61-2017)</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7）《城市工程管线综合规划规范》(GB50289-2016)；</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8）《城市测量规范》(CJJ/T8-2011)</w:t>
            </w:r>
            <w:r>
              <w:rPr>
                <w:rFonts w:ascii="仿宋_GB2312" w:hAnsi="仿宋_GB2312" w:cs="仿宋_GB2312" w:eastAsia="仿宋_GB2312"/>
                <w:sz w:val="24"/>
              </w:rPr>
              <w:t>；</w:t>
            </w:r>
            <w:r>
              <w:br/>
            </w:r>
            <w:r>
              <w:rPr>
                <w:rFonts w:ascii="仿宋_GB2312" w:hAnsi="仿宋_GB2312" w:cs="仿宋_GB2312" w:eastAsia="仿宋_GB2312"/>
                <w:sz w:val="24"/>
              </w:rPr>
              <w:t>（</w:t>
            </w:r>
            <w:r>
              <w:rPr>
                <w:rFonts w:ascii="仿宋_GB2312" w:hAnsi="仿宋_GB2312" w:cs="仿宋_GB2312" w:eastAsia="仿宋_GB2312"/>
                <w:sz w:val="24"/>
              </w:rPr>
              <w:t>9）《全球定位系统(GPS)测量规范》(GB/T18314-2016)</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(10)《工程测量规范》(GB50026-2016)；</w:t>
            </w:r>
            <w:r>
              <w:br/>
            </w:r>
            <w:r>
              <w:rPr>
                <w:rFonts w:ascii="仿宋_GB2312" w:hAnsi="仿宋_GB2312" w:cs="仿宋_GB2312" w:eastAsia="仿宋_GB2312"/>
                <w:sz w:val="24"/>
              </w:rPr>
              <w:t>(11)《道路塌陷隐患雷达检测技术规范》(T/CMEA 2-2018)；</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.2</w:t>
            </w:r>
            <w:r>
              <w:rPr>
                <w:rFonts w:ascii="仿宋_GB2312" w:hAnsi="仿宋_GB2312" w:cs="仿宋_GB2312" w:eastAsia="仿宋_GB2312"/>
                <w:sz w:val="24"/>
              </w:rPr>
              <w:t>桥梁检测依据及标准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）《城市桥梁养护技术标准》（</w:t>
            </w:r>
            <w:r>
              <w:rPr>
                <w:rFonts w:ascii="仿宋_GB2312" w:hAnsi="仿宋_GB2312" w:cs="仿宋_GB2312" w:eastAsia="仿宋_GB2312"/>
                <w:sz w:val="24"/>
              </w:rPr>
              <w:t>CJJ 99-2017）；</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）《城市桥梁检测与评定技术规范》（</w:t>
            </w:r>
            <w:r>
              <w:rPr>
                <w:rFonts w:ascii="仿宋_GB2312" w:hAnsi="仿宋_GB2312" w:cs="仿宋_GB2312" w:eastAsia="仿宋_GB2312"/>
                <w:sz w:val="24"/>
              </w:rPr>
              <w:t>CJJ/T 233-2015）；</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）《陕西省桥梁结构预应力检测技术规程》（</w:t>
            </w:r>
            <w:r>
              <w:rPr>
                <w:rFonts w:ascii="仿宋_GB2312" w:hAnsi="仿宋_GB2312" w:cs="仿宋_GB2312" w:eastAsia="仿宋_GB2312"/>
                <w:sz w:val="24"/>
              </w:rPr>
              <w:t>DB61/T 1288-2019）；</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拟投入人员需按甲方要求完成本项目。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质量要求：合格。</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本项目合同签订后6个月内完成。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项目所在地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工程竣工之日起将验收日期以书面形式通知采购人，要求采购人届时组织验收，如采购人不能按时组织验收须提前通知供应商，另定验收日期，但采购人须承认竣工日期。工程竣工后20个工作日内采购人未完成验收的，供应商有权组织相关专家、并通知采购人人员到场进行验收，采购人与供应商双方均应承认专家验收结果。（2）工程竣工后在验收合格之日起十日内，供应商向采购人移交完毕。（3）在进行竣工验收中如发现工程质量不符合规定，供应商应负责无偿返工，并按双方议定的措施和期限完成，经验收合格后再行移交。（4）工程竣工验收合格后，供应商对探查成果负责保修1个月。在质量保证期内，对采购人提出的问题，供应商立即投入人员设备进行探测与复核。（5）所供的成果文件必须保证符合国家相关程序和相关规定。（6）供应商提供相关成果文件确保真实性、可靠性。（7）质量成果应符合国家及行业相关的探测的技术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供应商向甲方单位提供正式成果，经甲方确认（以甲乙双方在工作量确认单签字盖章为准），验收合格后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中标结果公示发布后，所有供应商须向采购代理机构提供一正两副（和上传文件保持一致的）纸质投标（响应）文件用于备案及档案保存。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中小企业声明函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营业执照或事业单位法人证书等国家规定的相关证明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2023年度或2024年度经审计的财务报告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供应商须具有行业主管部门颁发的合格有效的工程勘察专业类乙级及以上资质(物探测试检测监测) 或测绘行政主管部门颁发的乙级及以上测绘资质(资质范围须包含摄影测量与遥感和工程测量)或市场监督管理部门颁发的检验检测机构资质认定证书（CMA）。</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 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出具参加政府采购活动前3年内在经营活动中没有重大违法记录的书面声明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须提供法定代表人授权书（法定代表人或负责人直接投标，须提交法定代表人证明书）并提供开标前三月内任意一个月的法人或授权人社保缴纳证明；</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 供应商资格证明文件.docx 供应商承诺书.docx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本项目不接受联合体投标承诺。</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商务应答表 供应商应提交的相关资格证明材料 标的清单 供应商资格证明文件.docx 报价表 响应函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供应商名称应与投标文件中营业执照名称一致；</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只能有一个有效报价，不得提交选择性报价，报价不超过预算金额或不超过最高限价或评审小组认为低于成本价的报价；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供应商针对本项目编制完善的服务方案，内容包含：①服务措施；②服务目标； ③检测技术方案；④检测数据处理；⑤检测成果；⑥履约验收。 二、评审标准 1、完整性：方案必须全面，对评审内容中的各项要求有详细描述: 2、可实施性：切合本项目实际情况，提出步骤清晰、合理的方案； 3、针对性：方案能够紧扣项目实际情况，内容科学合理。 三、赋分标准(满分18分)：①服务措施：每完全满足一个评审标准得1分，满分3分；②服务目标：每完全满足一个评审标准得1分，满分3分； ③检测技术方案：每完全满足一个评审标准得1分，满分3分；④检测数据处理：每完全满足一个评审标准得1分，满分3分；⑤检测成果：每完全满足一个评审标准得1分，满分3分；⑥履约验收方案：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内容至少包括①项目实施进度目标分析；②项目进度保障措施；③突发情况的应急方案及措施保障等。以上内容专门针对本项目且符合本项目实际需求的得12分，每缺一项内容扣4分，若上述内容存在瑕疵，每出现一处瑕疵扣2分，扣完为止。“瑕疵”指内容明显错误,或内容不完整或缺少关键点，或不适用本 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供应商针对本项目编制完善的服务质量保障措施，内容包含：①质量管理方案②质量控制措施； 二、评审标准 1、完整性：方案必须全面，对评审内容中的各项要求有详细描述； 2、可实施性：切合本项目实际情况，提出步骤清晰、合理的方案；3、针对性：方案能够紧扣项目实际情况，内容科学合理。 三、赋分标准(满分12分) ①质量管理方案：每完全满足一个评审标准得2分，满分6分； ②质量控制措施：每完全满足一个评审标准得2分，满分6分。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安全作业保障措施</w:t>
            </w:r>
          </w:p>
        </w:tc>
        <w:tc>
          <w:tcPr>
            <w:tcW w:type="dxa" w:w="2492"/>
          </w:tcPr>
          <w:p>
            <w:pPr>
              <w:pStyle w:val="null3"/>
            </w:pPr>
            <w:r>
              <w:rPr>
                <w:rFonts w:ascii="仿宋_GB2312" w:hAnsi="仿宋_GB2312" w:cs="仿宋_GB2312" w:eastAsia="仿宋_GB2312"/>
              </w:rPr>
              <w:t>一、评审内容：①安全保障方案②安全保证措施。 二、评审标准：1、完整性：方案必须全面，对评审内容中的各项要求有详细描述； 2、可实施性：切合本项目实际情况，提出步骤清晰、合理的方案；3、针对性：方案能够紧扣项目实际情况，内容科学合理。 三、赋分标准(满分6分) ①安全保证管理方案：每完全满足一个评审标准得1分，满分3分； ②安全保证措施：每完全满足一个评审标准得1分，满分3分。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人员配备管理方案</w:t>
            </w:r>
          </w:p>
        </w:tc>
        <w:tc>
          <w:tcPr>
            <w:tcW w:type="dxa" w:w="2492"/>
          </w:tcPr>
          <w:p>
            <w:pPr>
              <w:pStyle w:val="null3"/>
            </w:pPr>
            <w:r>
              <w:rPr>
                <w:rFonts w:ascii="仿宋_GB2312" w:hAnsi="仿宋_GB2312" w:cs="仿宋_GB2312" w:eastAsia="仿宋_GB2312"/>
              </w:rPr>
              <w:t>一、评审内容 供应商针对本项目编制完善的人员配备管理方案 ，内容包含：①项目组织构架（人员配备明细）及岗位分工；②人员管理制度； 二、评审标准 1、完整性：方案必须全面，对评审内容中的各项要求有详细描述；2、可实施性：切合本项目实际情况，提出步骤清晰、合理的方案；3、针对性：方案能够紧扣项目实际情况，内容科学合理。 三、赋分标准(满分12分) ①项目组织构架：每完全满足一个评审标准得2分，满分6分；②人员管理制度：每完全满足一个评审标准得2分，满分6分；（应提供身份证、毕业证、资质证书或职称证书等相关证明材料作为评审依据）。</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拟投入设备方案</w:t>
            </w:r>
          </w:p>
        </w:tc>
        <w:tc>
          <w:tcPr>
            <w:tcW w:type="dxa" w:w="2492"/>
          </w:tcPr>
          <w:p>
            <w:pPr>
              <w:pStyle w:val="null3"/>
            </w:pPr>
            <w:r>
              <w:rPr>
                <w:rFonts w:ascii="仿宋_GB2312" w:hAnsi="仿宋_GB2312" w:cs="仿宋_GB2312" w:eastAsia="仿宋_GB2312"/>
              </w:rPr>
              <w:t>一、评审内容 供应商针对本项目编制完善的拟投入设备方案，内容包含：①设备配置总体方案；②仪器设备、专业工具； 二、评审标准 以上内容专门针对本项目且符合本项目实际需求的得8分，每缺一项内容扣4分，若上述内容存在瑕疵，每出现一处瑕疵扣1分，扣完为止。“瑕疵”指内容明显错误,或内容不完整或缺少关键点，或不适用本 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重点、难点技术实施方案</w:t>
            </w:r>
          </w:p>
        </w:tc>
        <w:tc>
          <w:tcPr>
            <w:tcW w:type="dxa" w:w="2492"/>
          </w:tcPr>
          <w:p>
            <w:pPr>
              <w:pStyle w:val="null3"/>
            </w:pPr>
            <w:r>
              <w:rPr>
                <w:rFonts w:ascii="仿宋_GB2312" w:hAnsi="仿宋_GB2312" w:cs="仿宋_GB2312" w:eastAsia="仿宋_GB2312"/>
              </w:rPr>
              <w:t>一、评审内容 供应商针对本项目编制完善的重点、难点技术实施方案和跟踪服务计划，内容包含：①重点、难点技术实施方案；②跟踪服务计划。 二、评审标准 1、完整性:方案必须全面，对评审内容中的各项要求有详细描述；2、可实施性:切合本项目实际情况，提出步骤清晰、合理的方案；3、针对性：方案能够紧扣项目实际情况，内容科学合理。 三、赋分标准(满分12分) ①重点、难点技术实施方案：每完全满足一个评审标准得2分，满分6分；②跟踪服务计划：每完全满足一个评审标准得2分，满分6分。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一、评审内容：供应商提供2022年1月至今（以合同签订日期或中标通知书时间为准）类似项目业绩，每一份计2分，最多计10分。 二、评审标准：业绩证明材料（以磋商响应文件中提供的合同或中标通知书复印件为准）。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报价为评标基准价，其价格分为满分。其他投标供应商的价格分统一按照下列公式计算：投标报价得分=(基准价／投标报价)×价格权值×100；计算分数时四舍五入取小数点后两位；评委会二分之一以上专家认为某投标报价有低于成本价嫌疑的，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