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版本号：鸿图（2025）HTDZ019120251216003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周至县第七中学等12所学校变压器增容改造项目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鸿图（2025）HTDZ0191</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周至县第七中学等12所学校变压器增容改造项目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鸿图（2025）HTDZ0191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周至县第七中学等12所学校变压器增容改造项目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周至县第七中学等12所学校变压器增容改造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供2024年11月（含11月）以后任意时间段的纳税证明或完税证明（时间以税款所属时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6、具有履行合同所必需的设备和专业技术能力：具有履行合同所必需的设备和专业技术能力的书面声明。</w:t>
      </w:r>
    </w:p>
    <w:p>
      <w:pPr>
        <w:pStyle w:val="null3"/>
      </w:pPr>
      <w:r>
        <w:rPr>
          <w:rFonts w:ascii="仿宋_GB2312" w:hAnsi="仿宋_GB2312" w:cs="仿宋_GB2312" w:eastAsia="仿宋_GB2312"/>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9、资质要求：供应商应具有电力工程施工总承包三级（含三级）以上资质或输变电工程专业承包三级（含三级）以上资质，同时具备承装（修、试）电力设施许可证五级以上（含五级，旧证）资质或具备承装（修、试）电力设施许可证三级以上（含三级，新证）以及合法有效的安全生产许可证。</w:t>
      </w:r>
    </w:p>
    <w:p>
      <w:pPr>
        <w:pStyle w:val="null3"/>
      </w:pPr>
      <w:r>
        <w:rPr>
          <w:rFonts w:ascii="仿宋_GB2312" w:hAnsi="仿宋_GB2312" w:cs="仿宋_GB2312" w:eastAsia="仿宋_GB2312"/>
        </w:rPr>
        <w:t>10、拟派项目负责人资质要求：参加本项目的供应商拟派项目经理具备合法有效的机电工程专业二级及以上注册建造师资格和安全生产考核合格证（B证）且未担任其他在施工程项目的项目经理。</w:t>
      </w:r>
    </w:p>
    <w:p>
      <w:pPr>
        <w:pStyle w:val="null3"/>
      </w:pPr>
      <w:r>
        <w:rPr>
          <w:rFonts w:ascii="仿宋_GB2312" w:hAnsi="仿宋_GB2312" w:cs="仿宋_GB2312" w:eastAsia="仿宋_GB2312"/>
        </w:rPr>
        <w:t>11、本项目不接受联合体投标：非联合体投标声明函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供2024年11月（含11月）以后任意时间段的纳税证明或完税证明（时间以税款所属时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6、具有履行合同所必需的设备和专业技术能力：具有履行合同所必需的设备和专业技术能力的书面声明。</w:t>
      </w:r>
    </w:p>
    <w:p>
      <w:pPr>
        <w:pStyle w:val="null3"/>
      </w:pPr>
      <w:r>
        <w:rPr>
          <w:rFonts w:ascii="仿宋_GB2312" w:hAnsi="仿宋_GB2312" w:cs="仿宋_GB2312" w:eastAsia="仿宋_GB2312"/>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9、资质要求：供应商应具有电力工程施工总承包三级（含三级）以上资质或输变电工程专业承包三级（含三级）以上资质，同时具备承装（修、试）电力设施许可证五级以上（含五级，旧证）资质或具备承装（修、试）电力设施许可证三级以上（含三级，新证）以及合法有效的安全生产许可证。</w:t>
      </w:r>
    </w:p>
    <w:p>
      <w:pPr>
        <w:pStyle w:val="null3"/>
      </w:pPr>
      <w:r>
        <w:rPr>
          <w:rFonts w:ascii="仿宋_GB2312" w:hAnsi="仿宋_GB2312" w:cs="仿宋_GB2312" w:eastAsia="仿宋_GB2312"/>
        </w:rPr>
        <w:t>10、拟派项目负责人资质要求：参加本项目的供应商拟派项目经理具备合法有效的机电工程专业二级及以上注册建造师资格和安全生产考核合格证（B证）且未担任其他在施工程项目的项目经理。</w:t>
      </w:r>
    </w:p>
    <w:p>
      <w:pPr>
        <w:pStyle w:val="null3"/>
      </w:pPr>
      <w:r>
        <w:rPr>
          <w:rFonts w:ascii="仿宋_GB2312" w:hAnsi="仿宋_GB2312" w:cs="仿宋_GB2312" w:eastAsia="仿宋_GB2312"/>
        </w:rPr>
        <w:t>11、本项目不接受联合体投标：非联合体投标声明函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周至县教育和科学技术局经办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87150113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陕西省西安市碑林区南二环西段21号华融国际B座14楼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苏新龙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17389182886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采购包1：2,883,798.48元</w:t>
            </w:r>
          </w:p>
          <w:p>
            <w:pPr>
              <w:pStyle w:val="null3"/>
            </w:pPr>
            <w:r>
              <w:rPr>
                <w:rFonts w:ascii="仿宋_GB2312" w:hAnsi="仿宋_GB2312" w:cs="仿宋_GB2312" w:eastAsia="仿宋_GB2312"/>
              </w:rPr>
              <w:t>采购包2：3,336,521.23元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变压器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代理服务费收费标准：招标代理服务费收取参照国家计委颁布的《招标代理服务收费管理暂行 办法》（计价格[2002]1980号）和（发改办价格[2003]857号）货物类收费标准。按照中标金额差额定率累进法计算。中标单位在领取中标通知书前，须向采购代理机构一次性支付招标代理服务费；代理服务费以转账、电汇或现金等形式交纳。采购代理机构开户名称：鸿图造价咨询有限责任公司 开户行：中国银行股份有限公司西安南二环支行 账号：103607336556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联系人：苏新龙</w:t>
      </w:r>
    </w:p>
    <w:p>
      <w:pPr>
        <w:pStyle w:val="null3"/>
      </w:pPr>
      <w:r>
        <w:rPr>
          <w:rFonts w:ascii="仿宋_GB2312" w:hAnsi="仿宋_GB2312" w:cs="仿宋_GB2312" w:eastAsia="仿宋_GB2312"/>
        </w:rPr>
        <w:t>联系电话：17389182886</w:t>
      </w:r>
    </w:p>
    <w:p>
      <w:pPr>
        <w:pStyle w:val="null3"/>
      </w:pPr>
      <w:r>
        <w:rPr>
          <w:rFonts w:ascii="仿宋_GB2312" w:hAnsi="仿宋_GB2312" w:cs="仿宋_GB2312" w:eastAsia="仿宋_GB2312"/>
        </w:rPr>
        <w:t>地址：陕西省西安市碑林区南二环西段21号华融国际B座14楼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周至县第七中学等12所学校变压器增容改造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2,883,798.48</w:t>
      </w:r>
    </w:p>
    <w:p>
      <w:pPr>
        <w:pStyle w:val="null3"/>
      </w:pPr>
      <w:r>
        <w:rPr>
          <w:rFonts w:ascii="仿宋_GB2312" w:hAnsi="仿宋_GB2312" w:cs="仿宋_GB2312" w:eastAsia="仿宋_GB2312"/>
        </w:rPr>
        <w:t>采购包最高限价（元）: 2,883,798.48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2,883,798.48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3,336,521.23</w:t>
      </w:r>
    </w:p>
    <w:p>
      <w:pPr>
        <w:pStyle w:val="null3"/>
      </w:pPr>
      <w:r>
        <w:rPr>
          <w:rFonts w:ascii="仿宋_GB2312" w:hAnsi="仿宋_GB2312" w:cs="仿宋_GB2312" w:eastAsia="仿宋_GB2312"/>
        </w:rPr>
        <w:t>采购包最高限价（元）: 3,336,521.23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3,336,521.23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合同签订之日起60个日历日内供货安装完毕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合同签订之日起60个日历日内供货安装完毕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交货并经甲方验收合格后2年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交货并经甲方验收合格后2年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1、本项目为固定综合单价合同，项目完成验收合格并审计后按照审定金额据实结算。 2、供应商可参与多个采购包的投标,但只能中标一个采购包。评标委员会按照自然顺序依次评审，供应商若在前一个采购包评审中得分第一名的，其后各采购包只参与打分，不参与推荐中标候选人。 3、投标人的报价是投标人响应招标项目要求的全部工作内容的价格体现，包括投标人完成本项目所需的一切费用（一切费用是指：本项目所涉及的直接费用、间接费用及完成本项目所产生的一切费用） ★4、本项目的分项报价表和工程量计价清单需同时提供（工程量计价清单需有职业造价人员的签章） ★5、本项目核心产品为：1包：变压器； 2包：变压器。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提供2024年11月（含11月）以后任意时间段的纳税证明或完税证明（时间以税款所属时期为准），纳税证明或完税证明上应有代收机构或税务机关的公章或业务专用章；依法免税的投标人应提供相关文件证明。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电力工程施工总承包三级（含三级）以上资质或输变电工程专业承包三级（含三级）以上资质，同时具备承装（修、试）电力设施许可证五级以上（含五级，旧证）资质或具备承装（修、试）电力设施许可证三级以上（含三级，新证）以及合法有效的安全生产许可证。</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参加本项目的供应商拟派项目经理具备合法有效的机电工程专业二级及以上注册建造师资格和安全生产考核合格证（B证）且未担任其他在施工程项目的项目经理。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11月（含11月）以后任意时间段内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提供2024年11月（含11月）以后任意时间段的纳税证明或完税证明（时间以税款所属时期为准），纳税证明或完税证明上应有代收机构或税务机关的公章或业务专用章；依法免税的投标人应提供相关文件证明。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电力工程施工总承包三级（含三级）以上资质或输变电工程专业承包三级（含三级）以上资质，同时具备承装（修、试）电力设施许可证五级以上（含五级，旧证）资质或具备承装（修、试）电力设施许可证三级以上（含三级，新证）以及合法有效的安全生产许可证。</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参加本项目的供应商拟派项目经理具备合法有效的机电工程专业二级及以上注册建造师资格和安全生产考核合格证（B证）且未担任其他在施工程项目的项目经理。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等部门联合印发《关于调整优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等部门联合印发《关于调整优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工程量计价清单.docx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技术响应及偏离表.docx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其它.docx 开标一览表 技术响应及偏离表.docx 中小企业声明函 商务应答表 投标人应提交的相关资格证明材料.docx 分项报价表.docx 投标函 残疾人福利性单位声明函 标的清单 工程量计价清单.docx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工程量计价清单.docx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技术响应及偏离表.docx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其它.docx 开标一览表 技术响应及偏离表.docx 中小企业声明函 商务应答表 投标人应提交的相关资格证明材料.docx 分项报价表.docx 投标函 残疾人福利性单位声明函 标的清单 工程量计价清单.docx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技术指标参数清晰、明确；产品类别、规格等完全满足招标文件要求，经评审专家审定内容无负偏差得10分，参数有负偏离的每有1项扣0.5分，扣完为止。 注：正偏离视为满足招标文件要求；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其它.docx</w:t>
            </w:r>
          </w:p>
          <w:p>
            <w:pPr>
              <w:pStyle w:val="null3"/>
            </w:pPr>
            <w:r>
              <w:rPr>
                <w:rFonts w:ascii="仿宋_GB2312" w:hAnsi="仿宋_GB2312" w:cs="仿宋_GB2312" w:eastAsia="仿宋_GB2312"/>
              </w:rPr>
              <w:t>工程量计价清单.docx</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 ①总体实施方案； ②计划进度安排； ③项目团队配备； 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 ① 所有产品的合法来源渠道和生产厂家实力等证明材料； ②质量保证措施； ③质保期承诺。 以上各项内容全面明确、阐述条理清晰，依据每项方案的完整性、可实施性进行综合评审，每项内容最高得2分，满分6分，未提供不得分。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③派送措施。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针对本项目提出施工机械配备和材料投入计划，内容包含： ①机械和材料配备及进场安排； ②机械和材料现场管理；根据方案的完整性、针对性、可行性进行综合评审，每项内容最高得2分，未提供不得分，满分4分。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 ①操作维护方法； ②排除故障方法； ③培训计划安排； ④培训效果；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售后服务机构健全，提供售后服务方案，包括但不限于： ①售后服务机构承诺； ②售后服务保障措施； ③售后人员配置安排计划； ④故障处理响应时间； ⑤应急预案。 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技术指标参数清晰、明确；产品类别、规格等完全满足招标文件要求，经评审专家审定内容无负偏差得10分，参数有负偏离的每有1项扣0.5分，扣完为止。 注：正偏离视为满足招标文件要求；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其它.docx</w:t>
            </w:r>
          </w:p>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工程量计价清单.docx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 ①总体实施方案； ②计划进度安排； ③项目团队配备； 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 ① 所有产品的合法来源渠道和生产厂家实力等证明材料； ②质量保证措施； ③质保期承诺。 以上各项内容全面明确、阐述条理清晰，依据每项方案的完整性、可实施性进行综合评审，每项内容最高得2分，满分6分，未提供不得分。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③派送措施。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针对本项目提出施工机械配备和材料投入计划，内容包含： ①机械和材料配备及进场安排； ②机械和材料现场管理；根据方案的完整性、针对性、可行性进行综合评审，每项内容最高得2分，未提供不得分，满分4分。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 ①操作维护方法； ②排除故障方法； ③培训计划安排； ④培训效果；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售后服务机构健全，提供售后服务方案，包括但不限于： ①售后服务机构承诺； ②售后服务保障措施； ③售后人员配置安排计划； ④故障处理响应时间； ⑤应急预案。 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详见附件：工程量计价清单.docx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详见附件：工程量计价清单.docx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