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版本号：ZCXG-ZB-202507420251209001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县政府办公楼外立柱及屋檐安全隐患排除项目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ZCXG-ZB-2025074</w:t>
      </w:r>
      <w:r>
        <w:br/>
      </w:r>
      <w:r>
        <w:br/>
      </w:r>
      <w:r>
        <w:br/>
      </w:r>
    </w:p>
    <w:p>
      <w:pPr>
        <w:pStyle w:val="null3"/>
        <w:jc w:val="center"/>
        <w:outlineLvl w:val="2"/>
      </w:pPr>
      <w:r>
        <w:rPr>
          <w:rFonts w:ascii="仿宋_GB2312" w:hAnsi="仿宋_GB2312" w:cs="仿宋_GB2312" w:eastAsia="仿宋_GB2312"/>
          <w:sz w:val="28"/>
          <w:b/>
        </w:rPr>
        <w:t>西安市周至县机关事务服务中心（本级）</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西安市周至县机关事务服务中心（本级）</w:t>
      </w:r>
      <w:r>
        <w:rPr>
          <w:rFonts w:ascii="仿宋_GB2312" w:hAnsi="仿宋_GB2312" w:cs="仿宋_GB2312" w:eastAsia="仿宋_GB2312"/>
        </w:rPr>
        <w:t>委托，拟对</w:t>
      </w:r>
      <w:r>
        <w:rPr>
          <w:rFonts w:ascii="仿宋_GB2312" w:hAnsi="仿宋_GB2312" w:cs="仿宋_GB2312" w:eastAsia="仿宋_GB2312"/>
        </w:rPr>
        <w:t>县政府办公楼外立柱及屋檐安全隐患排除项目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县政府办公楼外立柱及屋檐安全隐患排除项目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完成办公楼外立柱修缮，屋、琉璃瓦更换，安全隐患排除等。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采购包1（县政府办公楼外立柱及屋檐安全隐患排除项目）：属于专门面向中小企业采购。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1、法定代表人/负责人授权书：法定代表人/负责人直接参加的，只须递交《法定代表人/负责人身份证明》和身份证；法定代表人/负责人授权代表参加的，须递交《法定代表人/负责人授权书》；</w:t>
      </w:r>
    </w:p>
    <w:p>
      <w:pPr>
        <w:pStyle w:val="null3"/>
      </w:pPr>
      <w:r>
        <w:rPr>
          <w:rFonts w:ascii="仿宋_GB2312" w:hAnsi="仿宋_GB2312" w:cs="仿宋_GB2312" w:eastAsia="仿宋_GB2312"/>
        </w:rPr>
        <w:t>2、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3、供应商资质：具备建筑工程施工总承包三级及以上资质，具有有效的安全生产许可证；</w:t>
      </w:r>
    </w:p>
    <w:p>
      <w:pPr>
        <w:pStyle w:val="null3"/>
      </w:pPr>
      <w:r>
        <w:rPr>
          <w:rFonts w:ascii="仿宋_GB2312" w:hAnsi="仿宋_GB2312" w:cs="仿宋_GB2312" w:eastAsia="仿宋_GB2312"/>
        </w:rPr>
        <w:t>4、拟派项目经理资格：具有建筑工程专业二级及以上注册建造师执业资格，并具有合法有效的安全生产考核合格证（建安B证），须在本单位注册，无不良信用记录，且未担任其他在建工程项目的项目经理，提供无在建工程承诺书；</w:t>
      </w:r>
    </w:p>
    <w:p>
      <w:pPr>
        <w:pStyle w:val="null3"/>
      </w:pPr>
      <w:r>
        <w:rPr>
          <w:rFonts w:ascii="仿宋_GB2312" w:hAnsi="仿宋_GB2312" w:cs="仿宋_GB2312" w:eastAsia="仿宋_GB2312"/>
        </w:rPr>
        <w:t>5、财务状况证明：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6、纳税证明：法人提供自2025年1月1日以来至少三个月的纳税证明或完税证明(增值税、企业所得税至少一种)，纳税证明或完税证明上应有代收机构或税务机关的公章或业务专用章；其他组织和自然人提供自2025年1月1日以来至少三个月缴纳税收的凭据；依法免税的供应商应提供相关文件证明；</w:t>
      </w:r>
    </w:p>
    <w:p>
      <w:pPr>
        <w:pStyle w:val="null3"/>
      </w:pPr>
      <w:r>
        <w:rPr>
          <w:rFonts w:ascii="仿宋_GB2312" w:hAnsi="仿宋_GB2312" w:cs="仿宋_GB2312" w:eastAsia="仿宋_GB2312"/>
        </w:rPr>
        <w:t>7、社保缴纳证明：提供自2025年1月1日以来至少三个月已缴纳的社会保障资金的证明（社会保障资金缴存单据或社保机构开具的社会保险参保缴费情况证明等)；依法不需要缴纳社会保障资金的供应商应提供相关证明文件；</w:t>
      </w:r>
    </w:p>
    <w:p>
      <w:pPr>
        <w:pStyle w:val="null3"/>
      </w:pPr>
      <w:r>
        <w:rPr>
          <w:rFonts w:ascii="仿宋_GB2312" w:hAnsi="仿宋_GB2312" w:cs="仿宋_GB2312" w:eastAsia="仿宋_GB2312"/>
        </w:rPr>
        <w:t>8、无重大违法记录：供应商需提供《无重大违法记录声明》完成承诺；</w:t>
      </w:r>
    </w:p>
    <w:p>
      <w:pPr>
        <w:pStyle w:val="null3"/>
      </w:pPr>
      <w:r>
        <w:rPr>
          <w:rFonts w:ascii="仿宋_GB2312" w:hAnsi="仿宋_GB2312" w:cs="仿宋_GB2312" w:eastAsia="仿宋_GB2312"/>
        </w:rPr>
        <w:t>9、履约能力证明：供应商需提供《具有履行合同所必需的设备和专业技术能力的承诺书》完成承诺。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029—87128005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采购包1：1,096,174.74元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和《国家发展改革委关于降低部分建设项目收费标准规范收费行为等有关问题的通知》发改价格〔2011〕534号文件的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西安市周至县机关事务服务中心（本级）</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西安市周至县机关事务服务中心（本级）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施工内容是否全部完成，施工质量是否符合国家行业规范规定合格标准。结算是否按照合同约定报送。</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联系人：张航帆</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地址：陕西省西安市雁塔区南二环老三届世纪星大厦8楼k座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1,096,174.74</w:t>
      </w:r>
    </w:p>
    <w:p>
      <w:pPr>
        <w:pStyle w:val="null3"/>
      </w:pPr>
      <w:r>
        <w:rPr>
          <w:rFonts w:ascii="仿宋_GB2312" w:hAnsi="仿宋_GB2312" w:cs="仿宋_GB2312" w:eastAsia="仿宋_GB2312"/>
        </w:rPr>
        <w:t>采购包最高限价（元）: 1,096,174.74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县政府办公楼外立柱及屋檐安全隐患排除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1,096,174.74</w:t>
            </w:r>
          </w:p>
        </w:tc>
        <w:tc>
          <w:tcPr>
            <w:tcW w:type="dxa" w:w="1384"/>
          </w:tcPr>
          <w:p>
            <w:pPr>
              <w:pStyle w:val="null3"/>
            </w:pPr>
            <w:r>
              <w:rPr>
                <w:rFonts w:ascii="仿宋_GB2312" w:hAnsi="仿宋_GB2312" w:cs="仿宋_GB2312" w:eastAsia="仿宋_GB2312"/>
              </w:rPr>
              <w:t>元</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标的名称：县政府办公楼外立柱及屋檐安全隐患排除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工程内容：按照图纸要求进行</w:t>
            </w:r>
            <w:r>
              <w:rPr>
                <w:rFonts w:ascii="仿宋_GB2312" w:hAnsi="仿宋_GB2312" w:cs="仿宋_GB2312" w:eastAsia="仿宋_GB2312"/>
                <w:sz w:val="18"/>
              </w:rPr>
              <w:t>维修</w:t>
            </w:r>
            <w:r>
              <w:rPr>
                <w:rFonts w:ascii="仿宋_GB2312" w:hAnsi="仿宋_GB2312" w:cs="仿宋_GB2312" w:eastAsia="仿宋_GB2312"/>
                <w:sz w:val="18"/>
              </w:rPr>
              <w:t>改造。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质量达到国家行业规定合格标准。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在施工期间，成交供应商必须注意人员安全，加强安全防护措施，并对施工人员进行安全教育。施工人员必须持证上岗。2、隐蔽工程在隐蔽前须进行分项验收，验收合格后乙方留存相关照片及资料。3、工程所有材料质量必须符合国家标准和行业标准，并具有合格证或检验证。</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1、工程地点：周至县人民政府院内。 2、计划工期：20个日历日。以甲方的开工报告为准，工期不变。 3、缺陷责任期：2年 。4、质量保修期：自验收之日算起，按《建设工程质量管理条例》第三十二条规定：施工单位对施工中出现质量问题的建设工程或者竣工验收不合格的建设工程，应当负责返修且工期不顺延，由此产生的费用及造成的损失，成交供应商自行承担。 自验收合格起之日两年，根据成交供应商响应文件，合同未约定质保事项以《房屋建筑工程质量保修办法》为准。 5、付款方式 ：合同签订后付30%预付款；竣工验收后付至合同总价的80%；结算审计后，支付至审计总价款的97%；剩余结算款的3%，二年后无质量问题，收到发票之日起，10个工作日内一次性付清。 6、违约责任 （1）按《中华人民共和国民法典》中的相关条款执行。 （2）未按合同要求提供，质量不能满足技术要求的，采购人会同政府采购机构有权终止合同（合同自书面通知送达供应商之日解除），供应商赔偿采购人解除合同的全部损失（包括但不限于重新采购产生的费用及其它由此造成的采购人对第三方的违约损失），并按照合同总价的30%支付违约金。同时按《政府采购法》有关处罚条款报监管机构进行相应的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法定代表人/负责人直接参加的，只须递交《法定代表人/负责人身份证明》和身份证；法定代表人/负责人授权代表参加的，须递交《法定代表人/负责人授权书》；</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具备建筑工程施工总承包三级及以上资质，具有有效的安全生产许可证；</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具有建筑工程专业二级及以上注册建造师执业资格，并具有合法有效的安全生产考核合格证（建安B证），须在本单位注册，无不良信用记录，且未担任其他在建工程项目的项目经理，提供无在建工程承诺书；</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三个月的纳税证明或完税证明(增值税、企业所得税至少一种)，纳税证明或完税证明上应有代收机构或税务机关的公章或业务专用章；其他组织和自然人提供自2025年1月1日以来至少三个月缴纳税收的凭据；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提供自2025年1月1日以来至少三个月已缴纳的社会保障资金的证明（社会保障资金缴存单据或社保机构开具的社会保险参保缴费情况证明等)；依法不需要缴纳社会保障资金的供应商应提供相关证明文件；</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供应商需提供《无重大违法记录声明》完成承诺；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实施方案非常详细、完整，可行、有针对性，有利于项目实施的10分； 实施方案比较详细完整、可行，较利于项目实施的得8分； 实施方案基本可行，基本满足项目实施需要的得6分； 实施方案有缺漏项、不能完全满足项目实施需要的得4分； 实施方案内容粗略、不满足项目实施需要的得2分；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方案及措施完全符合采购人安全作业的要求得8分； 方案及措施基本符合采购人安全作业的要求得6分； 方案及措施有缺漏项，不能完全符合采购人安全作业的要求得4分； 方案及措施内容粗略、不符合采购人安全作业的要求得2分；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措施计划完备齐全、合理、切实可行得8分； 措施计划完备齐全、合理、基本可行得6分； 措施计划有缺漏项，合理性、可行性较差，得4分； 措施计划内容粗略、可行性较差得2分；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 措施计划完备齐全、合理、切实可行得8分； 措施计划完备齐全、合理、基本可行得7分； 措施计划基本满足项目需求、合理性、可行性一般得6分； 措施计划有缺漏项，合理性、可行性较差得4分； 措施计划内容粗略、可行性较差，不能保证项目质量得2分；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机构设置合理，人员配备齐全，技术经验丰富得7分； 机构设置合理，人员配备较齐全、技术经验有欠缺得5分； 机构设置较合理、人员配备基本满足项目需求、技术经验有欠缺得3分； 机构设置不合理、人员配备不足、技术经验较差得1分；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施工机械配备和投入计划</w:t>
            </w:r>
          </w:p>
        </w:tc>
        <w:tc>
          <w:tcPr>
            <w:tcW w:type="dxa" w:w="2492"/>
          </w:tcPr>
          <w:p>
            <w:pPr>
              <w:pStyle w:val="null3"/>
            </w:pPr>
            <w:r>
              <w:rPr>
                <w:rFonts w:ascii="仿宋_GB2312" w:hAnsi="仿宋_GB2312" w:cs="仿宋_GB2312" w:eastAsia="仿宋_GB2312"/>
              </w:rPr>
              <w:t>根据供应商针对本项目制定的施工机械设备配备投入计划进行评审： 计划科学合理、合理性及针对性强，完全满足项目要求的得6分；计划稍有欠缺，有一定的可行性，能够满足项目需求的得4分；计划缺失严重，无法保证项目实施的得2分；未提供的得0分。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 织安排进行评审。 确保工期技术组织措施总体思路清晰、合理、可执行程度强，且能很好推动项目实施得7分； 组织措施思路较清晰、可行性、合理性较强得5分； 组织措施思路较清晰、可行性、合理性一般得3分； 组织措施思路模糊、可行性、合理性一般得1分； 组织措施思路模糊、有缺漏项，不能保证项目工期得1分；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针对本项目提供可行的、并符合国家相关规范的售后保障工作服务承诺，具有详细的服务措施及对维修服务响应时限有明确的承诺。 售后服务承诺完善、团队配备科学合理、响应快速得7分； 售后服务承诺较完善、团队人员配备较合理、响应速度较快得5分； 售后服务承诺简略、团队人员配备较合理、响应速度一般得3分； 售后服务承诺有缺漏项、团队人员配备不齐全、响应速度慢得1分；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2022年1月1日起至今，供应商承担的类似项目业绩（以响应文件中提供的完整合同复印件为准），每提供1份有效业绩得3分，最多得9分。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