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版本号：2025-ZYD-ZB-00420250311005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周至县九峰镇南千户村宜居宜业和美乡村示范村建设项目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2025-ZYD-ZB-004</w:t>
      </w:r>
      <w:r>
        <w:br/>
      </w:r>
      <w:r>
        <w:br/>
      </w:r>
      <w:r>
        <w:br/>
      </w:r>
    </w:p>
    <w:p>
      <w:pPr>
        <w:pStyle w:val="null3"/>
        <w:jc w:val="center"/>
        <w:outlineLvl w:val="2"/>
      </w:pPr>
      <w:r>
        <w:rPr>
          <w:rFonts w:ascii="仿宋_GB2312" w:hAnsi="仿宋_GB2312" w:cs="仿宋_GB2312" w:eastAsia="仿宋_GB2312"/>
          <w:sz w:val="28"/>
          <w:b/>
        </w:rPr>
        <w:t>西安市周至县九峰镇人民政府（本级）</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西安市周至县九峰镇人民政府（本级）</w:t>
      </w:r>
      <w:r>
        <w:rPr>
          <w:rFonts w:ascii="仿宋_GB2312" w:hAnsi="仿宋_GB2312" w:cs="仿宋_GB2312" w:eastAsia="仿宋_GB2312"/>
        </w:rPr>
        <w:t>委托，拟对</w:t>
      </w:r>
      <w:r>
        <w:rPr>
          <w:rFonts w:ascii="仿宋_GB2312" w:hAnsi="仿宋_GB2312" w:cs="仿宋_GB2312" w:eastAsia="仿宋_GB2312"/>
        </w:rPr>
        <w:t>周至县九峰镇南千户村宜居宜业和美乡村示范村建设项目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2025-ZYD-ZB-004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周至县九峰镇南千户村宜居宜业和美乡村示范村建设项目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村南、北入口提升、果园路口环境提升、道路两侧提升、主街区环境提升、颐养院改造、绿化工程；主要功能或目标:改善村民生活环境提升质量。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采购包1（周至县九峰镇南千户村宜居宜业和美乡村示范村建设项目）：属于专门面向中小企业采购。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2、法定代表人授权书：提供法定代表人授权书（附法定代表人、被授权人身份证复印件）及被授权人身份证复印件（法定代表人直接参加投标，须提供法定代表人身份证明及身份证复印件）；</w:t>
      </w:r>
    </w:p>
    <w:p>
      <w:pPr>
        <w:pStyle w:val="null3"/>
      </w:pPr>
      <w:r>
        <w:rPr>
          <w:rFonts w:ascii="仿宋_GB2312" w:hAnsi="仿宋_GB2312" w:cs="仿宋_GB2312" w:eastAsia="仿宋_GB2312"/>
        </w:rPr>
        <w:t>3、税收缴纳证明：投标人需提供投标截至日期前6个月内任意一个月的完税凭证或税务机关开具的完税证明（任意税种）；依法免税的应提供相关文件证明；</w:t>
      </w:r>
    </w:p>
    <w:p>
      <w:pPr>
        <w:pStyle w:val="null3"/>
      </w:pPr>
      <w:r>
        <w:rPr>
          <w:rFonts w:ascii="仿宋_GB2312" w:hAnsi="仿宋_GB2312" w:cs="仿宋_GB2312" w:eastAsia="仿宋_GB2312"/>
        </w:rPr>
        <w:t>4、社会保障资金缴纳证明：提供磋商截止日前近一年内至少一个月的社会保障资金缴存单据或社保机构开具的社会保险参保缴费情况证明，依法不需要缴纳社会保障资金的单位应提供相关证明材料；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5、企业资质：供应商具有建设行政主管部门颁发的市政公用工程施工总承包三级及以上(含三级)资质，且具备有效的安全生产许可证；</w:t>
      </w:r>
    </w:p>
    <w:p>
      <w:pPr>
        <w:pStyle w:val="null3"/>
      </w:pPr>
      <w:r>
        <w:rPr>
          <w:rFonts w:ascii="仿宋_GB2312" w:hAnsi="仿宋_GB2312" w:cs="仿宋_GB2312" w:eastAsia="仿宋_GB2312"/>
        </w:rPr>
        <w:t>6、项目经理要求：拟派项目经理须具有市政公用工程专业二级及以上注册建造师资质并具有安全生产考核合格证，在本单位注册且无在建工程（提供无在建承诺书）；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7、信用查询：供应商不得为“信用中国” 网站（www.creditchi na.gov.cn）中列入失信被执行人和重大税收违法失信主体，不得为中国政府采购网（www.cc gp.gov.cn）政府采购严重违法失信行为记录名单。</w:t>
      </w:r>
    </w:p>
    <w:p>
      <w:pPr>
        <w:pStyle w:val="null3"/>
      </w:pPr>
      <w:r>
        <w:rPr>
          <w:rFonts w:ascii="仿宋_GB2312" w:hAnsi="仿宋_GB2312" w:cs="仿宋_GB2312" w:eastAsia="仿宋_GB2312"/>
        </w:rPr>
        <w:t>8、具有履行合同所必需的设备和专业技术能力：供应商须提供具有履行合同所必需的设备和专业技术能力的承诺。</w:t>
      </w:r>
    </w:p>
    <w:p>
      <w:pPr>
        <w:pStyle w:val="null3"/>
      </w:pPr>
      <w:r>
        <w:rPr>
          <w:rFonts w:ascii="仿宋_GB2312" w:hAnsi="仿宋_GB2312" w:cs="仿宋_GB2312" w:eastAsia="仿宋_GB2312"/>
        </w:rPr>
        <w:t>9、参加政府采购活动前3年内，在经 营活动中没有重大违法记录：供应商须提供参加政府采购活动前3年内在经营活动中没有重大违法记录的书面声明；</w:t>
      </w:r>
    </w:p>
    <w:p>
      <w:pPr>
        <w:pStyle w:val="null3"/>
      </w:pPr>
      <w:r>
        <w:rPr>
          <w:rFonts w:ascii="仿宋_GB2312" w:hAnsi="仿宋_GB2312" w:cs="仿宋_GB2312" w:eastAsia="仿宋_GB2312"/>
        </w:rPr>
        <w:t>10、本项目不接受联合体磋商：本项目不接受联合体磋商，提供书面承诺。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西安市周至县九峰镇人民政府（本级）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周至县九峰镇何家寨村街道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029-85170399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西安市周至县公园一号（陕西中扬德项目管理有限公司）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029-85160588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采购包1：3,339,400.00元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代理服务费收费标准：代理服务费收费标准：成交供应商在领取《成交通知书》之前，向采购代理机构一次付清代理 服务费。 采购代理服务费的金额依据《招标代理服务收费管理暂行办法》 计价格[2002]1980 号文、《国家发展改革委关于降低部分建设项目收费标准规范收费行为等有关问题的通知》 发 改价格[2011]534 号文，以中标价为基数,按标准计取代理服务费。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西安市周至县九峰镇人民政府（本级）</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西安市周至县九峰镇人民政府（本级）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西安市周至县九峰镇人民政府（本级）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项目按时完工，达到国家现行施工验收规范“合格”标准，确保满足正常使用。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地址：西安市周至县公园一号（陕西中扬德项目管理有限公司）</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3,339,400.00</w:t>
      </w:r>
    </w:p>
    <w:p>
      <w:pPr>
        <w:pStyle w:val="null3"/>
      </w:pPr>
      <w:r>
        <w:rPr>
          <w:rFonts w:ascii="仿宋_GB2312" w:hAnsi="仿宋_GB2312" w:cs="仿宋_GB2312" w:eastAsia="仿宋_GB2312"/>
        </w:rPr>
        <w:t>采购包最高限价（元）: 3,339,400.00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周至县九峰镇南千户村宜居宜业和美乡村示范村建设项目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3,339,400.00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标的名称：周至县九峰镇南千户村宜居宜业和美乡村示范村建设项目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技术、服务标准和要求</w:t>
            </w:r>
          </w:p>
        </w:tc>
        <w:tc>
          <w:tcPr>
            <w:tcW w:type="dxa" w:w="2076"/>
          </w:tcPr>
          <w:p>
            <w:pPr>
              <w:pStyle w:val="null3"/>
              <w:jc w:val="both"/>
            </w:pPr>
            <w:r>
              <w:rPr>
                <w:rFonts w:ascii="仿宋_GB2312" w:hAnsi="仿宋_GB2312" w:cs="仿宋_GB2312" w:eastAsia="仿宋_GB2312"/>
                <w:sz w:val="20"/>
              </w:rPr>
              <w:t>详见附件</w:t>
            </w:r>
            <w:r>
              <w:rPr>
                <w:rFonts w:ascii="仿宋_GB2312" w:hAnsi="仿宋_GB2312" w:cs="仿宋_GB2312" w:eastAsia="仿宋_GB2312"/>
                <w:sz w:val="20"/>
              </w:rPr>
              <w:t>“工程量清单”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各项具体工作的质量标准和作业规范，符合国家法律法规的规定与相关技术标准。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保证施工质量要求，按期完工。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1、合同履行期限： 自签订合同之日起30个日历天完成； 2、（1）支付方式：分期付款； （2）合同支付约定： 1） 合同签订后人员材料进场 ，达到付款条件起 15 日内，支付合同总金额的 30.00%。 2）其余工程款按进度付款，工程完工经验收后 ，达到付款条件起 15 日内，支付合同总金额的 55.00%。 3）付款条件说明： 审计完成后 ，达到付款条件起 15 日内，支付合同总金额的 12.00%。 4）付款条件说明： 验收完成一年后，无工程质量问题 ，达到付款条件起 15 日内，支付合同总金额的 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提供2022年度或2023年度投标人的财务报告或出具开标前六个月内其基本账户银行出具的资信证明；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投标人需提供投标截至日期前6个月内任意一个月的完税凭证或税务机关开具的完税证明（任意税种）；依法免税的应提供相关文件证明；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供应商具有建设行政主管部门颁发的市政公用工程施工总承包三级及以上(含三级)资质，且具备有效的安全生产许可证；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资格证明文件 项目管理机构组成表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 网站（www.creditchi na.gov.cn）中列入失信被执行人和重大税收违法失信主体，不得为中国政府采购网（www.cc gp.gov.cn）政府采购严重违法失信行为记录名单。</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 技术响应方案 技术服务合同条款及其他商务要求应答表 响应函 投标人认为需要提供的其它资料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参加政府采购活动前3年内，在经 营活动中没有重大违法记录</w:t>
            </w:r>
          </w:p>
        </w:tc>
        <w:tc>
          <w:tcPr>
            <w:tcW w:type="dxa" w:w="3322"/>
          </w:tcPr>
          <w:p>
            <w:pPr>
              <w:pStyle w:val="null3"/>
            </w:pPr>
            <w:r>
              <w:rPr>
                <w:rFonts w:ascii="仿宋_GB2312" w:hAnsi="仿宋_GB2312" w:cs="仿宋_GB2312" w:eastAsia="仿宋_GB2312"/>
              </w:rPr>
              <w:t>供应商须提供参加政府采购活动前3年内在经营活动中没有重大违法记录的书面声明；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（2）磋商报价一览表填写符合要求； （3）计量单位、报价货币均符合磋商文件要求； （4）未超过采购预算或磋商文件规定的最高限价。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投标人认为需要提供的其它资料 业绩一览表 响应文件封面 资格证明文件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投标人认为需要提供的其它资料 业绩一览表 响应文件封面 资格证明文件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响应文件的响应程度</w:t>
            </w:r>
          </w:p>
        </w:tc>
        <w:tc>
          <w:tcPr>
            <w:tcW w:type="dxa" w:w="3322"/>
          </w:tcPr>
          <w:p>
            <w:pPr>
              <w:pStyle w:val="null3"/>
            </w:pPr>
            <w:r>
              <w:rPr>
                <w:rFonts w:ascii="仿宋_GB2312" w:hAnsi="仿宋_GB2312" w:cs="仿宋_GB2312" w:eastAsia="仿宋_GB2312"/>
              </w:rPr>
              <w:t>要求实质性条款全部响应，不能有采购人不能接收的附加条件。</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投标人认为需要提供的其它资料 业绩一览表 响应文件封面 资格证明文件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 准备；②施工进度安排;③施工方法 ；④重点难点工程分析及解决措施 ； ⑤影响正常施工外在因素分析及 对应预案等。 以上内容专门针对本 项目且阐述清晰、全面、合理得10 分。 每缺一项内容扣 2 分，若上 述内容存在瑕疵， 每存在 1 处瑕 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工程质量的技术组织 措施</w:t>
            </w:r>
          </w:p>
        </w:tc>
        <w:tc>
          <w:tcPr>
            <w:tcW w:type="dxa" w:w="2492"/>
          </w:tcPr>
          <w:p>
            <w:pPr>
              <w:pStyle w:val="null3"/>
            </w:pPr>
            <w:r>
              <w:rPr>
                <w:rFonts w:ascii="仿宋_GB2312" w:hAnsi="仿宋_GB2312" w:cs="仿宋_GB2312" w:eastAsia="仿宋_GB2312"/>
              </w:rPr>
              <w:t>工程质量的技术组织措施内容至少 包括①质量管理工作流程；②工程 质量保障方案；③工程质量控制体 系； ④材料和构配件的质量控制等 ；⑤施工检测及工序交验方案等。 以上内容专门针对本项目且阐述清 晰、全面、合理得 10 分，每缺一 项内容扣 2 分。 若上述内容存在 瑕疵，每存在 1 处瑕疵扣 1 分， 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安全生产技术组织措 施</w:t>
            </w:r>
          </w:p>
        </w:tc>
        <w:tc>
          <w:tcPr>
            <w:tcW w:type="dxa" w:w="2492"/>
          </w:tcPr>
          <w:p>
            <w:pPr>
              <w:pStyle w:val="null3"/>
            </w:pPr>
            <w:r>
              <w:rPr>
                <w:rFonts w:ascii="仿宋_GB2312" w:hAnsi="仿宋_GB2312" w:cs="仿宋_GB2312" w:eastAsia="仿宋_GB2312"/>
              </w:rPr>
              <w:t>安全生产技术组织措施内容至少包 括①安全生产管 理制度；②配置安 全组织机构；③安全隐患排查、整 改制度；④应急救援机制等。 以上 内容专门针对本项目且阐述清晰、 全面、合理 得10分，每缺一项内 容扣 2 .5分。若上述内容存在瑕疵 ，每出存在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文明施工及环境保护 组织措施</w:t>
            </w:r>
          </w:p>
        </w:tc>
        <w:tc>
          <w:tcPr>
            <w:tcW w:type="dxa" w:w="2492"/>
          </w:tcPr>
          <w:p>
            <w:pPr>
              <w:pStyle w:val="null3"/>
            </w:pPr>
            <w:r>
              <w:rPr>
                <w:rFonts w:ascii="仿宋_GB2312" w:hAnsi="仿宋_GB2312" w:cs="仿宋_GB2312" w:eastAsia="仿宋_GB2312"/>
              </w:rPr>
              <w:t>文明施工及环境保护组织措施内容 至少包括①文明及环境保护管理制 度； ②防尘降噪措施； ③节能减排 措施； ④文明及环境保护施工监督 检查机制等。 以上内容专门针对本 项目且阐述清晰、全面、合理得 1 0分，每缺一项内容扣 2 .5分，若 上述内容存在瑕疵，每存在 1 处瑕 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施工组织和项目管理 机构</w:t>
            </w:r>
          </w:p>
        </w:tc>
        <w:tc>
          <w:tcPr>
            <w:tcW w:type="dxa" w:w="2492"/>
          </w:tcPr>
          <w:p>
            <w:pPr>
              <w:pStyle w:val="null3"/>
            </w:pPr>
            <w:r>
              <w:rPr>
                <w:rFonts w:ascii="仿宋_GB2312" w:hAnsi="仿宋_GB2312" w:cs="仿宋_GB2312" w:eastAsia="仿宋_GB2312"/>
              </w:rPr>
              <w:t>施工组织和项目管理机构内容至少 包括①项目管理机构图;②岗位安排 及职责（配备施工员、安全员、资 料员、材料员、质量员）；③管理 制度；④相应的协调措施等。 以上 内容专门针对本项目且阐述清晰、 全面、合理得 10 分，每缺一项内 容扣 2 .5分，若上述内容存在瑕疵 ， 每存在 1 处瑕疵扣 1 分，扣完 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 ①施工总平面布置； ②进度安排计 划； ③工期目标控制和保证措施； ④ 材料供应措施； ⑤成品、半成品 保护监管措施等。 以上内容专门针 对本项目且阐述清晰、全面、合理 得 5分，每缺一项内容扣 1分，若 上述内容存在瑕疵， 每存在 1 处 瑕疵扣 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施工机械配置和材料 投入计划</w:t>
            </w:r>
          </w:p>
        </w:tc>
        <w:tc>
          <w:tcPr>
            <w:tcW w:type="dxa" w:w="2492"/>
          </w:tcPr>
          <w:p>
            <w:pPr>
              <w:pStyle w:val="null3"/>
            </w:pPr>
            <w:r>
              <w:rPr>
                <w:rFonts w:ascii="仿宋_GB2312" w:hAnsi="仿宋_GB2312" w:cs="仿宋_GB2312" w:eastAsia="仿宋_GB2312"/>
              </w:rPr>
              <w:t>施工机械配置和材料投入计划内容 至少包括①施工机械配置计划； ② 施工材料投入计划； ③施工机械的 维护保养和材料的贮存； ④施工机 械、材料的监督和检查等。 以上内 容专门针对本项目且阐述清晰、全 面、合理得 10分，每缺一项内容 扣 2 .5分，若上述内容存在瑕疵， 每存在 1 处瑕疵扣 1 分，扣完为 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提供近三年类似项目业绩，每提供一个类似项目业绩计1分，满分5分（以施工合同为准，时间以合同内时间为准 ，提供复印件加盖供应商公章）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详见附件：投标人认为需要提供的其它资料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