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版本号：2025JMR-（GC）020520250312001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周至县泥惠渠灌区东干退水渠维修改造工程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2025JMR-（GC）0205</w:t>
      </w:r>
      <w:r>
        <w:br/>
      </w:r>
      <w:r>
        <w:br/>
      </w:r>
      <w:r>
        <w:br/>
      </w:r>
    </w:p>
    <w:p>
      <w:pPr>
        <w:pStyle w:val="null3"/>
        <w:jc w:val="center"/>
        <w:outlineLvl w:val="2"/>
      </w:pPr>
      <w:r>
        <w:rPr>
          <w:rFonts w:ascii="仿宋_GB2312" w:hAnsi="仿宋_GB2312" w:cs="仿宋_GB2312" w:eastAsia="仿宋_GB2312"/>
          <w:sz w:val="28"/>
          <w:b/>
        </w:rPr>
        <w:t>西安市周至县泥惠渠管理站</w:t>
      </w:r>
    </w:p>
    <w:p>
      <w:pPr>
        <w:pStyle w:val="null3"/>
        <w:jc w:val="center"/>
        <w:outlineLvl w:val="2"/>
      </w:pPr>
      <w:r>
        <w:rPr>
          <w:rFonts w:ascii="仿宋_GB2312" w:hAnsi="仿宋_GB2312" w:cs="仿宋_GB2312" w:eastAsia="仿宋_GB2312"/>
          <w:sz w:val="28"/>
          <w:b/>
        </w:rPr>
        <w:t>陕西晶鸣瑞项目管理有限公司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陕西晶鸣瑞项目管理有限公司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西安市周至县泥惠渠管理站</w:t>
      </w:r>
      <w:r>
        <w:rPr>
          <w:rFonts w:ascii="仿宋_GB2312" w:hAnsi="仿宋_GB2312" w:cs="仿宋_GB2312" w:eastAsia="仿宋_GB2312"/>
        </w:rPr>
        <w:t>委托，拟对</w:t>
      </w:r>
      <w:r>
        <w:rPr>
          <w:rFonts w:ascii="仿宋_GB2312" w:hAnsi="仿宋_GB2312" w:cs="仿宋_GB2312" w:eastAsia="仿宋_GB2312"/>
        </w:rPr>
        <w:t>周至县泥惠渠灌区东干退水渠维修改造工程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2025JMR-（GC）0205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周至县泥惠渠灌区东干退水渠维修改造工程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工程概况 1.项目建设地点：西安市周至县。 2.项目区交通状况：项目区已通水通电，有公路直达，交通便利。 3.主要建设内容： ⑴退水渠S1+083-S1+165陡坡段90m修复，挖除40m滑塌及含水量过大土层后对坡面进行治理及恢复，渠底设置7座抗滑齿墙及坡底设置5米长重力式混凝土挡土墙。 ⑵东干渠桩号S000-S051易垮塌段进行改造，对渠道走向进行平顺处理，新建埋石混凝土挡墙51m。 ⑶渠道日常的除草、清淤。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采购包1（周至县泥惠渠灌区东干退水渠维修改造工程）：属于专门面向中小企业采购。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1、独立承担民事责任的能力：合法注册的法人应提供营业执照（或事业法人证）、组织机构代码证、税务登记证或统一社会信用代码的营业执照或其他组织应提供合法证明文件或自然人提供身份证件； 供应商需在项目电子化交易系统中按要求上传相应证明文件并进行电子签章。</w:t>
      </w:r>
    </w:p>
    <w:p>
      <w:pPr>
        <w:pStyle w:val="null3"/>
      </w:pPr>
      <w:r>
        <w:rPr>
          <w:rFonts w:ascii="仿宋_GB2312" w:hAnsi="仿宋_GB2312" w:cs="仿宋_GB2312" w:eastAsia="仿宋_GB2312"/>
        </w:rPr>
        <w:t>2、具有良好的商业信誉和健全的财务会计制度：供应商应提供2023年度或2024年度经审计的财务报告或在磋商截止时间前六个月内（2024年9月至今）其基本开户银行出具的资信证明（以上二种形式的资料提供任何一种即可）； 注：1.提供资信证明的供应商，需同时提供基本开户银行证明材料。2.根据“【财办2022】32号”的规定，2022年后出具的审计报告须在注册会计师行业统一监管平台进行自动赋码验证，未赋码的视为审计报告无效。 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提供磋商截止时间前六个月内（2024年9月至今）任意时段的缴纳证明，依法免税的单位应提供相关证明材料；（依法免税或不需要缴纳社会保障资金的供应商须提供相应证明文件；事业单位法人可不税收和社会保障资金缴纳证明；成立不满一年或开标前一年内零申报的税收缴纳证明则只需提供相关证明材料加盖供应商公章。） 供应商需在项目电子化交易系统中按要求上传相应证明文件并进行电子签章。</w:t>
      </w:r>
    </w:p>
    <w:p>
      <w:pPr>
        <w:pStyle w:val="null3"/>
      </w:pPr>
      <w:r>
        <w:rPr>
          <w:rFonts w:ascii="仿宋_GB2312" w:hAnsi="仿宋_GB2312" w:cs="仿宋_GB2312" w:eastAsia="仿宋_GB2312"/>
        </w:rPr>
        <w:t>4、书面声明：①参加本次政府采购活动前三年内，在经营活动中没有重大违法记录的书面声明；②提供具有履行本合同所必需的设备和专业技术能力的声明； 供应商需在项目电子化交易系统中按要求上传相应证明文件并进行电子签章。</w:t>
      </w:r>
    </w:p>
    <w:p>
      <w:pPr>
        <w:pStyle w:val="null3"/>
      </w:pPr>
      <w:r>
        <w:rPr>
          <w:rFonts w:ascii="仿宋_GB2312" w:hAnsi="仿宋_GB2312" w:cs="仿宋_GB2312" w:eastAsia="仿宋_GB2312"/>
        </w:rPr>
        <w:t>5、拟派项目负责人资质和专业要求：拟派项目经理须具备有效的水利水电工程专业二级（含二级）以上建造师注册证，具备行政主管部门颁发的有效的安全生产考核合格证且无在建工程（提供相关平台官网截图或无在建承诺书）；</w:t>
      </w:r>
    </w:p>
    <w:p>
      <w:pPr>
        <w:pStyle w:val="null3"/>
      </w:pPr>
      <w:r>
        <w:rPr>
          <w:rFonts w:ascii="仿宋_GB2312" w:hAnsi="仿宋_GB2312" w:cs="仿宋_GB2312" w:eastAsia="仿宋_GB2312"/>
        </w:rPr>
        <w:t>6、法律、行政法规规定的其他条件：①供应商须具备行政主管部门颁发的水利水电工程施工总承包三级（含三级）及以上资质，并具备有效的安全生产许可证；②法定代表人直接参加投标的，须提供法定代表人身份证明；法定代表人授权代表参加投标的，须提供法定代表人授权委托书； 供应商需在项目电子化交易系统中按要求上传相应证明文件并进行电子签章。</w:t>
      </w:r>
    </w:p>
    <w:p>
      <w:pPr>
        <w:pStyle w:val="null3"/>
      </w:pPr>
      <w:r>
        <w:rPr>
          <w:rFonts w:ascii="仿宋_GB2312" w:hAnsi="仿宋_GB2312" w:cs="仿宋_GB2312" w:eastAsia="仿宋_GB2312"/>
        </w:rPr>
        <w:t>7、供应商企业关系关联及联合体说明：本项目不接受联合体磋商，单位负责人为同一人或者存在直接控股、管理关系的不同供应商，不得参加同一合同项下的政府采购活动。 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西安市周至县泥惠渠管理站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周至县竹峪镇塔庙村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西安市周至县泥惠渠管理站经办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15891399881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陕西晶鸣瑞项目管理有限公司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西安市莲湖区唐延路北段20号太和时代广场C座507室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029-88618769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代理服务费收费标准：依据《国家发展改革委员会关于进一步放开建设项目专业服务价格的通知》（发改价格【2015】299 号），参照《国家计委关于印发&lt;招标代理服务收费管理暂行办法&gt;的通知》(计价格〔2002〕1980 号)、《国家发展改革委员会办公厅关于招标代理服务收费有关问题的通知》（发改办价格〔2003〕857 号）以及《国家发展改革委关于降低部分建设项目收费标准规范收费行为等有关问题的通知》(发改价格〔2011〕534 号)，以工程收费标准交纳招标服务费。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西安市周至县泥惠渠管理站</w:t>
      </w:r>
      <w:r>
        <w:rPr>
          <w:rFonts w:ascii="仿宋_GB2312" w:hAnsi="仿宋_GB2312" w:cs="仿宋_GB2312" w:eastAsia="仿宋_GB2312"/>
        </w:rPr>
        <w:t>和</w:t>
      </w:r>
      <w:r>
        <w:rPr>
          <w:rFonts w:ascii="仿宋_GB2312" w:hAnsi="仿宋_GB2312" w:cs="仿宋_GB2312" w:eastAsia="仿宋_GB2312"/>
        </w:rPr>
        <w:t>陕西晶鸣瑞项目管理有限公司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西安市周至县泥惠渠管理站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陕西晶鸣瑞项目管理有限公司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西安市周至县泥惠渠管理站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陕西晶鸣瑞项目管理有限公司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陕西晶鸣瑞项目管理有限公司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陕西晶鸣瑞项目管理有限公司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陕西晶鸣瑞项目管理有限公司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联系人：宋琦</w:t>
      </w:r>
    </w:p>
    <w:p>
      <w:pPr>
        <w:pStyle w:val="null3"/>
      </w:pPr>
      <w:r>
        <w:rPr>
          <w:rFonts w:ascii="仿宋_GB2312" w:hAnsi="仿宋_GB2312" w:cs="仿宋_GB2312" w:eastAsia="仿宋_GB2312"/>
        </w:rPr>
        <w:t>联系电话：029-88618769</w:t>
      </w:r>
    </w:p>
    <w:p>
      <w:pPr>
        <w:pStyle w:val="null3"/>
      </w:pPr>
      <w:r>
        <w:rPr>
          <w:rFonts w:ascii="仿宋_GB2312" w:hAnsi="仿宋_GB2312" w:cs="仿宋_GB2312" w:eastAsia="仿宋_GB2312"/>
        </w:rPr>
        <w:t>地址：西安市莲湖区唐延路北段20号太和时代广场C座507室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1,160,000.00</w:t>
      </w:r>
    </w:p>
    <w:p>
      <w:pPr>
        <w:pStyle w:val="null3"/>
      </w:pPr>
      <w:r>
        <w:rPr>
          <w:rFonts w:ascii="仿宋_GB2312" w:hAnsi="仿宋_GB2312" w:cs="仿宋_GB2312" w:eastAsia="仿宋_GB2312"/>
        </w:rPr>
        <w:t>采购包最高限价（元）: 1,023,400.00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退水渠维修改造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1,160,000.00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标的名称：退水渠维修改造</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采购内容及工程量清单</w:t>
            </w:r>
          </w:p>
        </w:tc>
        <w:tc>
          <w:tcPr>
            <w:tcW w:type="dxa" w:w="2076"/>
          </w:tcPr>
          <w:p>
            <w:pPr>
              <w:pStyle w:val="null3"/>
              <w:jc w:val="center"/>
              <w:outlineLvl w:val="0"/>
            </w:pPr>
            <w:r>
              <w:rPr>
                <w:rFonts w:ascii="仿宋_GB2312" w:hAnsi="仿宋_GB2312" w:cs="仿宋_GB2312" w:eastAsia="仿宋_GB2312"/>
                <w:sz w:val="32"/>
                <w:b/>
              </w:rPr>
              <w:t>工程量清单编制说明</w:t>
            </w:r>
          </w:p>
          <w:p>
            <w:pPr>
              <w:pStyle w:val="null3"/>
              <w:jc w:val="both"/>
              <w:outlineLvl w:val="0"/>
            </w:pPr>
            <w:r>
              <w:rPr>
                <w:rFonts w:ascii="仿宋_GB2312" w:hAnsi="仿宋_GB2312" w:cs="仿宋_GB2312" w:eastAsia="仿宋_GB2312"/>
                <w:sz w:val="28"/>
                <w:b/>
              </w:rPr>
              <w:t>一、工程概况</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项目建设地点：西安市</w:t>
            </w:r>
            <w:r>
              <w:rPr>
                <w:rFonts w:ascii="仿宋_GB2312" w:hAnsi="仿宋_GB2312" w:cs="仿宋_GB2312" w:eastAsia="仿宋_GB2312"/>
                <w:sz w:val="24"/>
              </w:rPr>
              <w:t>周至</w:t>
            </w:r>
            <w:r>
              <w:rPr>
                <w:rFonts w:ascii="仿宋_GB2312" w:hAnsi="仿宋_GB2312" w:cs="仿宋_GB2312" w:eastAsia="仿宋_GB2312"/>
                <w:sz w:val="24"/>
              </w:rPr>
              <w:t>县。</w:t>
            </w:r>
          </w:p>
          <w:p>
            <w:pPr>
              <w:pStyle w:val="null3"/>
              <w:ind w:firstLine="480"/>
              <w:jc w:val="left"/>
            </w:pPr>
            <w:r>
              <w:rPr>
                <w:rFonts w:ascii="仿宋_GB2312" w:hAnsi="仿宋_GB2312" w:cs="仿宋_GB2312" w:eastAsia="仿宋_GB2312"/>
                <w:sz w:val="24"/>
              </w:rPr>
              <w:t>2.项目区交通状况：项目区已通水通电，有公路直达，交通便利。</w:t>
            </w:r>
          </w:p>
          <w:p>
            <w:pPr>
              <w:pStyle w:val="null3"/>
              <w:ind w:firstLine="480"/>
              <w:jc w:val="left"/>
            </w:pPr>
            <w:r>
              <w:rPr>
                <w:rFonts w:ascii="仿宋_GB2312" w:hAnsi="仿宋_GB2312" w:cs="仿宋_GB2312" w:eastAsia="仿宋_GB2312"/>
                <w:sz w:val="24"/>
              </w:rPr>
              <w:t>3.主要建设内容：</w:t>
            </w:r>
          </w:p>
          <w:p>
            <w:pPr>
              <w:pStyle w:val="null3"/>
              <w:ind w:firstLine="480"/>
              <w:jc w:val="left"/>
            </w:pPr>
            <w:r>
              <w:rPr>
                <w:rFonts w:ascii="仿宋_GB2312" w:hAnsi="仿宋_GB2312" w:cs="仿宋_GB2312" w:eastAsia="仿宋_GB2312"/>
                <w:sz w:val="24"/>
              </w:rPr>
              <w:t>⑴</w:t>
            </w:r>
            <w:r>
              <w:rPr>
                <w:rFonts w:ascii="仿宋_GB2312" w:hAnsi="仿宋_GB2312" w:cs="仿宋_GB2312" w:eastAsia="仿宋_GB2312"/>
                <w:sz w:val="24"/>
              </w:rPr>
              <w:t>退水渠</w:t>
            </w:r>
            <w:r>
              <w:rPr>
                <w:rFonts w:ascii="仿宋_GB2312" w:hAnsi="仿宋_GB2312" w:cs="仿宋_GB2312" w:eastAsia="仿宋_GB2312"/>
                <w:sz w:val="24"/>
              </w:rPr>
              <w:t>S1+083-S1+165陡坡段90m修复，挖除40m滑塌及含水量过大土层后对坡面进行治理及恢复，渠底设置7座抗滑齿墙及坡底设置5米长重力式混凝土挡土墙。</w:t>
            </w:r>
          </w:p>
          <w:p>
            <w:pPr>
              <w:pStyle w:val="null3"/>
              <w:ind w:firstLine="480"/>
              <w:jc w:val="left"/>
            </w:pPr>
            <w:r>
              <w:rPr>
                <w:rFonts w:ascii="仿宋_GB2312" w:hAnsi="仿宋_GB2312" w:cs="仿宋_GB2312" w:eastAsia="仿宋_GB2312"/>
                <w:sz w:val="24"/>
              </w:rPr>
              <w:t>⑵</w:t>
            </w:r>
            <w:r>
              <w:rPr>
                <w:rFonts w:ascii="仿宋_GB2312" w:hAnsi="仿宋_GB2312" w:cs="仿宋_GB2312" w:eastAsia="仿宋_GB2312"/>
                <w:sz w:val="24"/>
              </w:rPr>
              <w:t>东</w:t>
            </w:r>
            <w:r>
              <w:rPr>
                <w:rFonts w:ascii="仿宋_GB2312" w:hAnsi="仿宋_GB2312" w:cs="仿宋_GB2312" w:eastAsia="仿宋_GB2312"/>
                <w:sz w:val="24"/>
              </w:rPr>
              <w:t>干渠</w:t>
            </w:r>
            <w:r>
              <w:rPr>
                <w:rFonts w:ascii="仿宋_GB2312" w:hAnsi="仿宋_GB2312" w:cs="仿宋_GB2312" w:eastAsia="仿宋_GB2312"/>
                <w:sz w:val="24"/>
              </w:rPr>
              <w:t>桩号</w:t>
            </w:r>
            <w:r>
              <w:rPr>
                <w:rFonts w:ascii="仿宋_GB2312" w:hAnsi="仿宋_GB2312" w:cs="仿宋_GB2312" w:eastAsia="仿宋_GB2312"/>
                <w:sz w:val="24"/>
              </w:rPr>
              <w:t>S000-S051易垮塌段</w:t>
            </w:r>
            <w:r>
              <w:rPr>
                <w:rFonts w:ascii="仿宋_GB2312" w:hAnsi="仿宋_GB2312" w:cs="仿宋_GB2312" w:eastAsia="仿宋_GB2312"/>
                <w:sz w:val="24"/>
              </w:rPr>
              <w:t>进行改造，</w:t>
            </w:r>
            <w:r>
              <w:rPr>
                <w:rFonts w:ascii="仿宋_GB2312" w:hAnsi="仿宋_GB2312" w:cs="仿宋_GB2312" w:eastAsia="仿宋_GB2312"/>
                <w:sz w:val="24"/>
              </w:rPr>
              <w:t>对渠道走向进行平顺处理，新建埋石混凝土挡墙</w:t>
            </w:r>
            <w:r>
              <w:rPr>
                <w:rFonts w:ascii="仿宋_GB2312" w:hAnsi="仿宋_GB2312" w:cs="仿宋_GB2312" w:eastAsia="仿宋_GB2312"/>
                <w:sz w:val="24"/>
              </w:rPr>
              <w:t>51m。</w:t>
            </w:r>
          </w:p>
          <w:p>
            <w:pPr>
              <w:pStyle w:val="null3"/>
              <w:ind w:firstLine="480"/>
              <w:jc w:val="left"/>
            </w:pPr>
            <w:r>
              <w:rPr>
                <w:rFonts w:ascii="仿宋_GB2312" w:hAnsi="仿宋_GB2312" w:cs="仿宋_GB2312" w:eastAsia="仿宋_GB2312"/>
                <w:sz w:val="24"/>
              </w:rPr>
              <w:t>⑶</w:t>
            </w:r>
            <w:r>
              <w:rPr>
                <w:rFonts w:ascii="仿宋_GB2312" w:hAnsi="仿宋_GB2312" w:cs="仿宋_GB2312" w:eastAsia="仿宋_GB2312"/>
                <w:sz w:val="24"/>
              </w:rPr>
              <w:t>渠道日常的除草、清淤。</w:t>
            </w:r>
          </w:p>
          <w:p>
            <w:pPr>
              <w:pStyle w:val="null3"/>
              <w:jc w:val="both"/>
              <w:outlineLvl w:val="0"/>
            </w:pPr>
            <w:r>
              <w:rPr>
                <w:rFonts w:ascii="仿宋_GB2312" w:hAnsi="仿宋_GB2312" w:cs="仿宋_GB2312" w:eastAsia="仿宋_GB2312"/>
                <w:sz w:val="28"/>
                <w:b/>
              </w:rPr>
              <w:t>二、编制依据</w:t>
            </w:r>
          </w:p>
          <w:p>
            <w:pPr>
              <w:pStyle w:val="null3"/>
              <w:ind w:firstLine="480"/>
              <w:jc w:val="left"/>
            </w:pPr>
            <w:r>
              <w:rPr>
                <w:rFonts w:ascii="仿宋_GB2312" w:hAnsi="仿宋_GB2312" w:cs="仿宋_GB2312" w:eastAsia="仿宋_GB2312"/>
                <w:sz w:val="24"/>
              </w:rPr>
              <w:t>⑴陕水规计发【2019】66号文,陕西省水利厅关于发布试行《陕西省水利工程设计概（估）算编制规定》、《陕西省水利建筑工程概算定额》等计价依据的通知。</w:t>
            </w:r>
          </w:p>
          <w:p>
            <w:pPr>
              <w:pStyle w:val="null3"/>
              <w:ind w:firstLine="480"/>
              <w:jc w:val="left"/>
            </w:pPr>
            <w:r>
              <w:rPr>
                <w:rFonts w:ascii="仿宋_GB2312" w:hAnsi="仿宋_GB2312" w:cs="仿宋_GB2312" w:eastAsia="仿宋_GB2312"/>
                <w:sz w:val="24"/>
              </w:rPr>
              <w:t>⑵陕发改项目[2017]1606号关于《陕西省水利工程设计概（估）算编制规定》。</w:t>
            </w:r>
          </w:p>
          <w:p>
            <w:pPr>
              <w:pStyle w:val="null3"/>
              <w:ind w:firstLine="480"/>
              <w:jc w:val="left"/>
            </w:pPr>
            <w:r>
              <w:rPr>
                <w:rFonts w:ascii="仿宋_GB2312" w:hAnsi="仿宋_GB2312" w:cs="仿宋_GB2312" w:eastAsia="仿宋_GB2312"/>
                <w:sz w:val="24"/>
              </w:rPr>
              <w:t>⑶陕发改项目[2017]1606号文颁发的《陕西省水利建筑工程概算定额》、《陕西省水利设备安装工程概算定额》、《陕西省水利工程施工机械台班费定额》。</w:t>
            </w:r>
          </w:p>
          <w:p>
            <w:pPr>
              <w:pStyle w:val="null3"/>
              <w:ind w:firstLine="480"/>
              <w:jc w:val="left"/>
            </w:pPr>
            <w:r>
              <w:rPr>
                <w:rFonts w:ascii="仿宋_GB2312" w:hAnsi="仿宋_GB2312" w:cs="仿宋_GB2312" w:eastAsia="仿宋_GB2312"/>
                <w:sz w:val="24"/>
              </w:rPr>
              <w:t>⑷水利部办公厅关于调整水利工程计价依据增值税计算标准的通知（办财务函〔2019〕448 号）。</w:t>
            </w:r>
          </w:p>
          <w:p>
            <w:pPr>
              <w:pStyle w:val="null3"/>
              <w:ind w:firstLine="480"/>
              <w:jc w:val="left"/>
            </w:pPr>
            <w:r>
              <w:rPr>
                <w:rFonts w:ascii="仿宋_GB2312" w:hAnsi="仿宋_GB2312" w:cs="仿宋_GB2312" w:eastAsia="仿宋_GB2312"/>
                <w:sz w:val="24"/>
              </w:rPr>
              <w:t>⑸国家计委计价格〔2002〕1980号文关于印发《招标代理业务收费管理暂行办法》的通知。</w:t>
            </w:r>
          </w:p>
          <w:p>
            <w:pPr>
              <w:pStyle w:val="null3"/>
              <w:ind w:firstLine="480"/>
              <w:jc w:val="left"/>
            </w:pPr>
            <w:r>
              <w:rPr>
                <w:rFonts w:ascii="仿宋_GB2312" w:hAnsi="仿宋_GB2312" w:cs="仿宋_GB2312" w:eastAsia="仿宋_GB2312"/>
                <w:sz w:val="24"/>
              </w:rPr>
              <w:t>⑹陕价行发[2007]83号文，陕西省物价局、省建设厅转发国家发展改革委建设部发改价格﹝2007﹞670号关于印发《建设工程监理与相关服务收费管理规定》的通知。</w:t>
            </w:r>
          </w:p>
          <w:p>
            <w:pPr>
              <w:pStyle w:val="null3"/>
              <w:ind w:firstLine="480"/>
              <w:jc w:val="left"/>
            </w:pPr>
            <w:r>
              <w:rPr>
                <w:rFonts w:ascii="仿宋_GB2312" w:hAnsi="仿宋_GB2312" w:cs="仿宋_GB2312" w:eastAsia="仿宋_GB2312"/>
                <w:sz w:val="24"/>
              </w:rPr>
              <w:t>⑺初步设计文件、图纸及材料设备清单。</w:t>
            </w:r>
          </w:p>
          <w:p>
            <w:pPr>
              <w:pStyle w:val="null3"/>
              <w:jc w:val="left"/>
            </w:pPr>
            <w:r>
              <w:rPr>
                <w:rFonts w:ascii="仿宋_GB2312" w:hAnsi="仿宋_GB2312" w:cs="仿宋_GB2312" w:eastAsia="仿宋_GB2312"/>
                <w:sz w:val="24"/>
                <w:b/>
              </w:rPr>
              <w:t>三、其他说明</w:t>
            </w:r>
          </w:p>
          <w:p>
            <w:pPr>
              <w:pStyle w:val="null3"/>
              <w:ind w:firstLine="480"/>
              <w:jc w:val="left"/>
            </w:pPr>
            <w:r>
              <w:rPr>
                <w:rFonts w:ascii="仿宋_GB2312" w:hAnsi="仿宋_GB2312" w:cs="仿宋_GB2312" w:eastAsia="仿宋_GB2312"/>
                <w:sz w:val="24"/>
              </w:rPr>
              <w:t>1.本工程暂列金按55300.00元计入。</w:t>
            </w:r>
          </w:p>
          <w:p>
            <w:pPr>
              <w:pStyle w:val="null3"/>
              <w:ind w:firstLine="480"/>
              <w:jc w:val="left"/>
            </w:pPr>
            <w:r>
              <w:rPr>
                <w:rFonts w:ascii="仿宋_GB2312" w:hAnsi="仿宋_GB2312" w:cs="仿宋_GB2312" w:eastAsia="仿宋_GB2312"/>
                <w:sz w:val="24"/>
              </w:rPr>
              <w:t>2.工程量清单另附。</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严格按照国家颁发的施工技术验收规范进行施工，质量应达到国家质量检验评定的合格标准。符合国家、省、市及采购人相关规范、标准和规定。</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严格按照国家颁发的施工技术验收规范进行施工，质量应达到国家质量检验评定的合格标准。符合国家、省、市及采购人相关规范、标准和规定。</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关于财务会计制度的证明材料｛注：供应商应提供2023年度或2024年度经审计的财务报告或在磋商截止时间前六个月内（2024年9月至今）其基本开户银行出具的资信证明（以上二种形式的资料提供任何一种即可）； 注：提供资信证明的供应商，需同时提供基本开户银行证明材料。 供应商需在项目电子化交易系统中按要求上传相应证明文件并进行电子签章。｝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拟派项目负责人资质及专业要求</w:t>
            </w:r>
          </w:p>
        </w:tc>
        <w:tc>
          <w:tcPr>
            <w:tcW w:type="dxa" w:w="3322"/>
          </w:tcPr>
          <w:p>
            <w:pPr>
              <w:pStyle w:val="null3"/>
            </w:pPr>
            <w:r>
              <w:rPr>
                <w:rFonts w:ascii="仿宋_GB2312" w:hAnsi="仿宋_GB2312" w:cs="仿宋_GB2312" w:eastAsia="仿宋_GB2312"/>
              </w:rPr>
              <w:t>拟派项目经理须具备有效的水利水电工程专业二级（含二级）以上建造师注册证，具备行政主管部门颁发的有效的安全生产考核合格证且无在建工程（提供相关平台官网截图或无在建承诺书）</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合法注册的法人应提供营业执照（或事业法人证）、组织机构代码证、税务登记证或统一社会信用代码的营业执照或其他组织应提供合法证明文件或自然人提供身份证件；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供应商应提供2023年度或2024年度经审计的财务报告或在磋商截止时间前六个月内（2024年9月至今）其基本开户银行出具的资信证明（以上二种形式的资料提供任何一种即可）； 注：1.提供资信证明的供应商，需同时提供基本开户银行证明材料。2.根据“【财办2022】32号”的规定，2022年后出具的审计报告须在注册会计师行业统一监管平台进行自动赋码验证，未赋码的视为审计报告无效。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磋商截止时间前六个月内（2024年9月至今）任意时段的缴纳证明，依法免税的单位应提供相关证明材料；（依法免税或不需要缴纳社会保障资金的供应商须提供相应证明文件；事业单位法人可不税收和社会保障资金缴纳证明；成立不满一年或开标前一年内零申报的税收缴纳证明则只需提供相关证明材料加盖供应商公章。）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①参加本次政府采购活动前三年内，在经营活动中没有重大违法记录的书面声明；②提供具有履行本合同所必需的设备和专业技术能力的声明；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拟派项目经理须具备有效的水利水电工程专业二级（含二级）以上建造师注册证，具备行政主管部门颁发的有效的安全生产考核合格证且无在建工程（提供相关平台官网截图或无在建承诺书）；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①供应商须具备行政主管部门颁发的水利水电工程施工总承包三级（含三级）及以上资质，并具备有效的安全生产许可证；②法定代表人直接参加投标的，须提供法定代表人身份证明；法定代表人授权代表参加投标的，须提供法定代表人授权委托书；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响应文件语言及有效期是否合格</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确保文明施工的技术措施及环境保护措施.docx 业绩.docx 确保安全生产的技术组织措施.docx 对治污减霾，垃圾按规定倾倒、不随意抛洒等内容作出承诺.docx 已标价工程量清单 拟投入的机械设备.docx 人员配备.docx 中小企业声明函 偏离表.docx 确保工期的技术组织措施.docx 资格证明文件.docx 响应文件封面 确保工程质量的技术组织措施.docx 确保项目正常实施的协调工作及在施工过程中发生紧急情况时的应急措施.docx 残疾人福利性单位声明函 施工方案.docx 报价函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响应文件的签字盖章是否合格</w:t>
            </w:r>
          </w:p>
        </w:tc>
        <w:tc>
          <w:tcPr>
            <w:tcW w:type="dxa" w:w="3322"/>
          </w:tcPr>
          <w:p>
            <w:pPr>
              <w:pStyle w:val="null3"/>
            </w:pPr>
            <w:r>
              <w:rPr>
                <w:rFonts w:ascii="仿宋_GB2312" w:hAnsi="仿宋_GB2312" w:cs="仿宋_GB2312" w:eastAsia="仿宋_GB2312"/>
              </w:rPr>
              <w:t>磋商文件要求须签字盖章的地方均已签字、盖章</w:t>
            </w:r>
          </w:p>
        </w:tc>
        <w:tc>
          <w:tcPr>
            <w:tcW w:type="dxa" w:w="1661"/>
          </w:tcPr>
          <w:p>
            <w:pPr>
              <w:pStyle w:val="null3"/>
            </w:pPr>
            <w:r>
              <w:rPr>
                <w:rFonts w:ascii="仿宋_GB2312" w:hAnsi="仿宋_GB2312" w:cs="仿宋_GB2312" w:eastAsia="仿宋_GB2312"/>
              </w:rPr>
              <w:t>确保文明施工的技术措施及环境保护措施.docx 业绩.docx 确保安全生产的技术组织措施.docx 对治污减霾，垃圾按规定倾倒、不随意抛洒等内容作出承诺.docx 已标价工程量清单 拟投入的机械设备.docx 人员配备.docx 中小企业声明函 偏离表.docx 确保工期的技术组织措施.docx 资格证明文件.docx 响应文件封面 确保工程质量的技术组织措施.docx 确保项目正常实施的协调工作及在施工过程中发生紧急情况时的应急措施.docx 残疾人福利性单位声明函 施工方案.docx 报价函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（1）磋商报价符合唯一性要求；（2）计量单位、报价货币均符合磋商文件要求；（3）未超出采购文件规定的最高限价。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本项目专门面向中小企业</w:t>
            </w:r>
          </w:p>
        </w:tc>
        <w:tc>
          <w:tcPr>
            <w:tcW w:type="dxa" w:w="3322"/>
          </w:tcPr>
          <w:p>
            <w:pPr>
              <w:pStyle w:val="null3"/>
            </w:pPr>
            <w:r>
              <w:rPr>
                <w:rFonts w:ascii="仿宋_GB2312" w:hAnsi="仿宋_GB2312" w:cs="仿宋_GB2312" w:eastAsia="仿宋_GB2312"/>
              </w:rPr>
              <w:t>供应商需提供有效的中小企业声明函（需加盖公章）</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确保文明施工的技术措施及环境保护措施.docx 业绩.docx 确保安全生产的技术组织措施.docx 对治污减霾，垃圾按规定倾倒、不随意抛洒等内容作出承诺.docx 已标价工程量清单 拟投入的机械设备.docx 人员配备.docx 中小企业声明函 偏离表.docx 确保工期的技术组织措施.docx 资格证明文件.docx 响应文件封面 确保工程质量的技术组织措施.docx 确保项目正常实施的协调工作及在施工过程中发生紧急情况时的应急措施.docx 残疾人福利性单位声明函 施工方案.docx 报价函 标的清单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1.1技术响应</w:t>
            </w:r>
          </w:p>
        </w:tc>
        <w:tc>
          <w:tcPr>
            <w:tcW w:type="dxa" w:w="2492"/>
          </w:tcPr>
          <w:p>
            <w:pPr>
              <w:pStyle w:val="null3"/>
            </w:pPr>
            <w:r>
              <w:rPr>
                <w:rFonts w:ascii="仿宋_GB2312" w:hAnsi="仿宋_GB2312" w:cs="仿宋_GB2312" w:eastAsia="仿宋_GB2312"/>
              </w:rPr>
              <w:t>确保工程质量的技术组织措施（2-8分）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确保工程质量的技术组织措施.docx</w:t>
            </w:r>
          </w:p>
        </w:tc>
      </w:tr>
      <w:tr>
        <w:tc>
          <w:tcPr>
            <w:tcW w:type="dxa" w:w="831"/>
            <w:vMerge/>
          </w:tcPr>
          <w:p/>
        </w:tc>
        <w:tc>
          <w:tcPr>
            <w:tcW w:type="dxa" w:w="1661"/>
          </w:tcPr>
          <w:p>
            <w:pPr>
              <w:pStyle w:val="null3"/>
            </w:pPr>
            <w:r>
              <w:rPr>
                <w:rFonts w:ascii="仿宋_GB2312" w:hAnsi="仿宋_GB2312" w:cs="仿宋_GB2312" w:eastAsia="仿宋_GB2312"/>
              </w:rPr>
              <w:t>1.2技术响应</w:t>
            </w:r>
          </w:p>
        </w:tc>
        <w:tc>
          <w:tcPr>
            <w:tcW w:type="dxa" w:w="2492"/>
          </w:tcPr>
          <w:p>
            <w:pPr>
              <w:pStyle w:val="null3"/>
            </w:pPr>
            <w:r>
              <w:rPr>
                <w:rFonts w:ascii="仿宋_GB2312" w:hAnsi="仿宋_GB2312" w:cs="仿宋_GB2312" w:eastAsia="仿宋_GB2312"/>
              </w:rPr>
              <w:t>确保安全生产的技术组织措施（2-8分）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确保安全生产的技术组织措施.docx</w:t>
            </w:r>
          </w:p>
        </w:tc>
      </w:tr>
      <w:tr>
        <w:tc>
          <w:tcPr>
            <w:tcW w:type="dxa" w:w="831"/>
            <w:vMerge/>
          </w:tcPr>
          <w:p/>
        </w:tc>
        <w:tc>
          <w:tcPr>
            <w:tcW w:type="dxa" w:w="1661"/>
          </w:tcPr>
          <w:p>
            <w:pPr>
              <w:pStyle w:val="null3"/>
            </w:pPr>
            <w:r>
              <w:rPr>
                <w:rFonts w:ascii="仿宋_GB2312" w:hAnsi="仿宋_GB2312" w:cs="仿宋_GB2312" w:eastAsia="仿宋_GB2312"/>
              </w:rPr>
              <w:t>1.3技术响应</w:t>
            </w:r>
          </w:p>
        </w:tc>
        <w:tc>
          <w:tcPr>
            <w:tcW w:type="dxa" w:w="2492"/>
          </w:tcPr>
          <w:p>
            <w:pPr>
              <w:pStyle w:val="null3"/>
            </w:pPr>
            <w:r>
              <w:rPr>
                <w:rFonts w:ascii="仿宋_GB2312" w:hAnsi="仿宋_GB2312" w:cs="仿宋_GB2312" w:eastAsia="仿宋_GB2312"/>
              </w:rPr>
              <w:t>确保文明施工的技术措施及环境保护措施（2-8分）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确保文明施工的技术措施及环境保护措施.docx</w:t>
            </w:r>
          </w:p>
        </w:tc>
      </w:tr>
      <w:tr>
        <w:tc>
          <w:tcPr>
            <w:tcW w:type="dxa" w:w="831"/>
            <w:vMerge/>
          </w:tcPr>
          <w:p/>
        </w:tc>
        <w:tc>
          <w:tcPr>
            <w:tcW w:type="dxa" w:w="1661"/>
          </w:tcPr>
          <w:p>
            <w:pPr>
              <w:pStyle w:val="null3"/>
            </w:pPr>
            <w:r>
              <w:rPr>
                <w:rFonts w:ascii="仿宋_GB2312" w:hAnsi="仿宋_GB2312" w:cs="仿宋_GB2312" w:eastAsia="仿宋_GB2312"/>
              </w:rPr>
              <w:t>1.4技术响应</w:t>
            </w:r>
          </w:p>
        </w:tc>
        <w:tc>
          <w:tcPr>
            <w:tcW w:type="dxa" w:w="2492"/>
          </w:tcPr>
          <w:p>
            <w:pPr>
              <w:pStyle w:val="null3"/>
            </w:pPr>
            <w:r>
              <w:rPr>
                <w:rFonts w:ascii="仿宋_GB2312" w:hAnsi="仿宋_GB2312" w:cs="仿宋_GB2312" w:eastAsia="仿宋_GB2312"/>
              </w:rPr>
              <w:t>确保工期的技术组织措施（2-6分）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确保工期的技术组织措施.docx</w:t>
            </w:r>
          </w:p>
        </w:tc>
      </w:tr>
      <w:tr>
        <w:tc>
          <w:tcPr>
            <w:tcW w:type="dxa" w:w="831"/>
            <w:vMerge/>
          </w:tcPr>
          <w:p/>
        </w:tc>
        <w:tc>
          <w:tcPr>
            <w:tcW w:type="dxa" w:w="1661"/>
          </w:tcPr>
          <w:p>
            <w:pPr>
              <w:pStyle w:val="null3"/>
            </w:pPr>
            <w:r>
              <w:rPr>
                <w:rFonts w:ascii="仿宋_GB2312" w:hAnsi="仿宋_GB2312" w:cs="仿宋_GB2312" w:eastAsia="仿宋_GB2312"/>
              </w:rPr>
              <w:t>1.5技术响应</w:t>
            </w:r>
          </w:p>
        </w:tc>
        <w:tc>
          <w:tcPr>
            <w:tcW w:type="dxa" w:w="2492"/>
          </w:tcPr>
          <w:p>
            <w:pPr>
              <w:pStyle w:val="null3"/>
            </w:pPr>
            <w:r>
              <w:rPr>
                <w:rFonts w:ascii="仿宋_GB2312" w:hAnsi="仿宋_GB2312" w:cs="仿宋_GB2312" w:eastAsia="仿宋_GB2312"/>
              </w:rPr>
              <w:t>施工方案（2-10分）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1.6技术响应</w:t>
            </w:r>
          </w:p>
        </w:tc>
        <w:tc>
          <w:tcPr>
            <w:tcW w:type="dxa" w:w="2492"/>
          </w:tcPr>
          <w:p>
            <w:pPr>
              <w:pStyle w:val="null3"/>
            </w:pPr>
            <w:r>
              <w:rPr>
                <w:rFonts w:ascii="仿宋_GB2312" w:hAnsi="仿宋_GB2312" w:cs="仿宋_GB2312" w:eastAsia="仿宋_GB2312"/>
              </w:rPr>
              <w:t>确保项目正常实施的协调工作及在施工过程中发生紧急情况时的应急措施（2-5分）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确保项目正常实施的协调工作及在施工过程中发生紧急情况时的应急措施.docx</w:t>
            </w:r>
          </w:p>
        </w:tc>
      </w:tr>
      <w:tr>
        <w:tc>
          <w:tcPr>
            <w:tcW w:type="dxa" w:w="831"/>
            <w:vMerge/>
          </w:tcPr>
          <w:p/>
        </w:tc>
        <w:tc>
          <w:tcPr>
            <w:tcW w:type="dxa" w:w="1661"/>
          </w:tcPr>
          <w:p>
            <w:pPr>
              <w:pStyle w:val="null3"/>
            </w:pPr>
            <w:r>
              <w:rPr>
                <w:rFonts w:ascii="仿宋_GB2312" w:hAnsi="仿宋_GB2312" w:cs="仿宋_GB2312" w:eastAsia="仿宋_GB2312"/>
              </w:rPr>
              <w:t>1.7技术响应</w:t>
            </w:r>
          </w:p>
        </w:tc>
        <w:tc>
          <w:tcPr>
            <w:tcW w:type="dxa" w:w="2492"/>
          </w:tcPr>
          <w:p>
            <w:pPr>
              <w:pStyle w:val="null3"/>
            </w:pPr>
            <w:r>
              <w:rPr>
                <w:rFonts w:ascii="仿宋_GB2312" w:hAnsi="仿宋_GB2312" w:cs="仿宋_GB2312" w:eastAsia="仿宋_GB2312"/>
              </w:rPr>
              <w:t>对治污减霾，垃圾按规定倾倒、不随意抛洒等内容作出承诺（2-5分）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对治污减霾，垃圾按规定倾倒、不随意抛洒等内容作出承诺.docx</w:t>
            </w:r>
          </w:p>
        </w:tc>
      </w:tr>
      <w:tr>
        <w:tc>
          <w:tcPr>
            <w:tcW w:type="dxa" w:w="831"/>
            <w:vMerge/>
          </w:tcPr>
          <w:p/>
        </w:tc>
        <w:tc>
          <w:tcPr>
            <w:tcW w:type="dxa" w:w="1661"/>
          </w:tcPr>
          <w:p>
            <w:pPr>
              <w:pStyle w:val="null3"/>
            </w:pPr>
            <w:r>
              <w:rPr>
                <w:rFonts w:ascii="仿宋_GB2312" w:hAnsi="仿宋_GB2312" w:cs="仿宋_GB2312" w:eastAsia="仿宋_GB2312"/>
              </w:rPr>
              <w:t>2.人员配备</w:t>
            </w:r>
          </w:p>
        </w:tc>
        <w:tc>
          <w:tcPr>
            <w:tcW w:type="dxa" w:w="2492"/>
          </w:tcPr>
          <w:p>
            <w:pPr>
              <w:pStyle w:val="null3"/>
            </w:pPr>
            <w:r>
              <w:rPr>
                <w:rFonts w:ascii="仿宋_GB2312" w:hAnsi="仿宋_GB2312" w:cs="仿宋_GB2312" w:eastAsia="仿宋_GB2312"/>
              </w:rPr>
              <w:t>根据人员配备的专业性、合理性进行赋分，计0-10分。 （注：提供配备人员证书证件等证明材料，不提供不得分）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3.拟投入的机械设备</w:t>
            </w:r>
          </w:p>
        </w:tc>
        <w:tc>
          <w:tcPr>
            <w:tcW w:type="dxa" w:w="2492"/>
          </w:tcPr>
          <w:p>
            <w:pPr>
              <w:pStyle w:val="null3"/>
            </w:pPr>
            <w:r>
              <w:rPr>
                <w:rFonts w:ascii="仿宋_GB2312" w:hAnsi="仿宋_GB2312" w:cs="仿宋_GB2312" w:eastAsia="仿宋_GB2312"/>
              </w:rPr>
              <w:t>根据机械设备配备的全面性、合理性和实用性进行赋分，计0-5分。 （注：提供机械设备的租赁协议或者自由设备的发票等证明材料，不提供不得分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拟投入的机械设备.docx</w:t>
            </w:r>
          </w:p>
        </w:tc>
      </w:tr>
      <w:tr>
        <w:tc>
          <w:tcPr>
            <w:tcW w:type="dxa" w:w="831"/>
            <w:vMerge/>
          </w:tcPr>
          <w:p/>
        </w:tc>
        <w:tc>
          <w:tcPr>
            <w:tcW w:type="dxa" w:w="1661"/>
          </w:tcPr>
          <w:p>
            <w:pPr>
              <w:pStyle w:val="null3"/>
            </w:pPr>
            <w:r>
              <w:rPr>
                <w:rFonts w:ascii="仿宋_GB2312" w:hAnsi="仿宋_GB2312" w:cs="仿宋_GB2312" w:eastAsia="仿宋_GB2312"/>
              </w:rPr>
              <w:t>4.业绩</w:t>
            </w:r>
          </w:p>
        </w:tc>
        <w:tc>
          <w:tcPr>
            <w:tcW w:type="dxa" w:w="2492"/>
          </w:tcPr>
          <w:p>
            <w:pPr>
              <w:pStyle w:val="null3"/>
            </w:pPr>
            <w:r>
              <w:rPr>
                <w:rFonts w:ascii="仿宋_GB2312" w:hAnsi="仿宋_GB2312" w:cs="仿宋_GB2312" w:eastAsia="仿宋_GB2312"/>
              </w:rPr>
              <w:t>2021年1月1日至今具有类似项目业绩，提供合同复印件加盖公章（以合同签订日期为准）。提供1份计1分，满分5分。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价格分采用低价优先法计算，即满足磋商文件要求且最后磋商报价最低的供应商的价格为磋商基准价，其价格分为满分。其他供应商的价格分统一按照下列公式计算： 磋商报价得分=(磋商基准价／最后磋商报价)×价格分值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详见附件：确保项目正常实施的协调工作及在施工过程中发生紧急情况时的应急措施.docx</w:t>
      </w:r>
    </w:p>
    <w:p>
      <w:pPr>
        <w:pStyle w:val="null3"/>
        <w:ind w:firstLine="960"/>
      </w:pPr>
      <w:r>
        <w:rPr>
          <w:rFonts w:ascii="仿宋_GB2312" w:hAnsi="仿宋_GB2312" w:cs="仿宋_GB2312" w:eastAsia="仿宋_GB2312"/>
        </w:rPr>
        <w:t>详见附件：确保文明施工的技术措施及环境保护措施.docx</w:t>
      </w:r>
    </w:p>
    <w:p>
      <w:pPr>
        <w:pStyle w:val="null3"/>
        <w:ind w:firstLine="960"/>
      </w:pPr>
      <w:r>
        <w:rPr>
          <w:rFonts w:ascii="仿宋_GB2312" w:hAnsi="仿宋_GB2312" w:cs="仿宋_GB2312" w:eastAsia="仿宋_GB2312"/>
        </w:rPr>
        <w:t>详见附件：确保工期的技术组织措施.docx</w:t>
      </w:r>
    </w:p>
    <w:p>
      <w:pPr>
        <w:pStyle w:val="null3"/>
        <w:ind w:firstLine="960"/>
      </w:pPr>
      <w:r>
        <w:rPr>
          <w:rFonts w:ascii="仿宋_GB2312" w:hAnsi="仿宋_GB2312" w:cs="仿宋_GB2312" w:eastAsia="仿宋_GB2312"/>
        </w:rPr>
        <w:t>详见附件：确保工程质量的技术组织措施.docx</w:t>
      </w:r>
    </w:p>
    <w:p>
      <w:pPr>
        <w:pStyle w:val="null3"/>
        <w:ind w:firstLine="960"/>
      </w:pPr>
      <w:r>
        <w:rPr>
          <w:rFonts w:ascii="仿宋_GB2312" w:hAnsi="仿宋_GB2312" w:cs="仿宋_GB2312" w:eastAsia="仿宋_GB2312"/>
        </w:rPr>
        <w:t>详见附件：确保安全生产的技术组织措施.docx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详见附件：拟投入的机械设备.docx</w:t>
      </w:r>
    </w:p>
    <w:p>
      <w:pPr>
        <w:pStyle w:val="null3"/>
        <w:ind w:firstLine="960"/>
      </w:pPr>
      <w:r>
        <w:rPr>
          <w:rFonts w:ascii="仿宋_GB2312" w:hAnsi="仿宋_GB2312" w:cs="仿宋_GB2312" w:eastAsia="仿宋_GB2312"/>
        </w:rPr>
        <w:t>详见附件：对治污减霾，垃圾按规定倾倒、不随意抛洒等内容作出承诺.docx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