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版本号：ZYCG-2025031420250318001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乡村旅游观光旅游及配套设施购置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ZYCG-20250314</w:t>
      </w:r>
      <w:r>
        <w:br/>
      </w:r>
      <w:r>
        <w:br/>
      </w:r>
      <w:r>
        <w:br/>
      </w:r>
    </w:p>
    <w:p>
      <w:pPr>
        <w:pStyle w:val="null3"/>
        <w:jc w:val="center"/>
        <w:outlineLvl w:val="2"/>
      </w:pPr>
      <w:r>
        <w:rPr>
          <w:rFonts w:ascii="仿宋_GB2312" w:hAnsi="仿宋_GB2312" w:cs="仿宋_GB2312" w:eastAsia="仿宋_GB2312"/>
          <w:sz w:val="28"/>
          <w:b/>
        </w:rPr>
        <w:t>周至县骆峪镇人民政府</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周至县骆峪镇人民政府</w:t>
      </w:r>
      <w:r>
        <w:rPr>
          <w:rFonts w:ascii="仿宋_GB2312" w:hAnsi="仿宋_GB2312" w:cs="仿宋_GB2312" w:eastAsia="仿宋_GB2312"/>
        </w:rPr>
        <w:t>委托，拟对</w:t>
      </w:r>
      <w:r>
        <w:rPr>
          <w:rFonts w:ascii="仿宋_GB2312" w:hAnsi="仿宋_GB2312" w:cs="仿宋_GB2312" w:eastAsia="仿宋_GB2312"/>
        </w:rPr>
        <w:t>乡村旅游观光旅游及配套设施购置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ZYCG-20250314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乡村旅游观光旅游及配套设施购置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景区公共自行车系统目的是为游客出行而打造的一项民生工程和环保工程，在当前倡导“绿色出行、低碳生活”的生态游的前提下，建设景区公共自行车系统，将为游客提供经济便捷的绿色骑行（短距离）和接驳公共交通（长距离）的交通出行方式，更加便民利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采购包1（乡村旅游观光旅游及配套设施购置）：属于专门面向中小企业采购。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财务状况报告：提供2023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p>
      <w:pPr>
        <w:pStyle w:val="null3"/>
      </w:pPr>
      <w:r>
        <w:rPr>
          <w:rFonts w:ascii="仿宋_GB2312" w:hAnsi="仿宋_GB2312" w:cs="仿宋_GB2312" w:eastAsia="仿宋_GB2312"/>
        </w:rPr>
        <w:t>4、税收缴纳证明：提供2024年1月1日至今已缴纳的至少一个月的纳税证明或完税证明（任意税种），依法免税的单位应提供相关证明材料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自2024年1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 na.gov.cn）中列入失信被执行人和重大税收违 法案件当事人名单，不得为中国政府采购网（w ww.ccgp.gov.cn）政府采购严重违法失信行为记录名单</w:t>
      </w:r>
    </w:p>
    <w:p>
      <w:pPr>
        <w:pStyle w:val="null3"/>
      </w:pPr>
      <w:r>
        <w:rPr>
          <w:rFonts w:ascii="仿宋_GB2312" w:hAnsi="仿宋_GB2312" w:cs="仿宋_GB2312" w:eastAsia="仿宋_GB2312"/>
        </w:rPr>
        <w:t>8、设备及专业技术能力的声明：提供具有履行本合同所必需的设备和专业技术能力的声明</w:t>
      </w:r>
    </w:p>
    <w:p>
      <w:pPr>
        <w:pStyle w:val="null3"/>
      </w:pPr>
      <w:r>
        <w:rPr>
          <w:rFonts w:ascii="仿宋_GB2312" w:hAnsi="仿宋_GB2312" w:cs="仿宋_GB2312" w:eastAsia="仿宋_GB2312"/>
        </w:rPr>
        <w:t>9、不接受联合体：本项目不接受联合体投标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周至县骆峪镇人民政府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西安市周至县骆峪镇骆峪村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15102917917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采购包1：496,370.00元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代理服务费收费标准：代理服务费由中标人按照国家计委颁布的《招标代理服务收费管理暂行办法》（计价格『2002』1980 号）文中规定的收费标准向采购代理机构一次性全额支付。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周至县骆峪镇人民政府</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周至县骆峪镇人民政府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联系人：辛工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景区公共自行车系统目的是为游客出行而打造的一项民生工程和环保工程，在当前倡导“绿色出行、低碳生活”的生态游的前提下，建设景区公共自行车系统，将为游客提供经济便捷的绿色骑行（短距离）和接驳公共交通（长距离）的交通出行方式，更加便民利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496,370.00</w:t>
      </w:r>
    </w:p>
    <w:p>
      <w:pPr>
        <w:pStyle w:val="null3"/>
      </w:pPr>
      <w:r>
        <w:rPr>
          <w:rFonts w:ascii="仿宋_GB2312" w:hAnsi="仿宋_GB2312" w:cs="仿宋_GB2312" w:eastAsia="仿宋_GB2312"/>
        </w:rPr>
        <w:t>采购包最高限价（元）: 496,370.00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乡村旅游观光旅游及配套设施购置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496,370.00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标的名称：乡村旅游观光旅游及配套设施购置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项目建设规模及内容</w:t>
            </w:r>
          </w:p>
        </w:tc>
        <w:tc>
          <w:tcPr>
            <w:tcW w:type="dxa" w:w="2076"/>
          </w:tcPr>
          <w:p>
            <w:pPr>
              <w:pStyle w:val="null3"/>
            </w:pPr>
            <w:r>
              <w:rPr>
                <w:rFonts w:ascii="仿宋_GB2312" w:hAnsi="仿宋_GB2312" w:cs="仿宋_GB2312" w:eastAsia="仿宋_GB2312"/>
              </w:rPr>
              <w:t>1、建设规划旅游观光车停靠点3处（兼顾还车、取车功能），分别为：乡村会客厅、农家小院、花溪谷、红旗村（前往白杨林附近）。初期投入旅游观光车：大型2辆，小型3辆。</w:t>
            </w:r>
          </w:p>
          <w:p>
            <w:pPr>
              <w:pStyle w:val="null3"/>
            </w:pPr>
            <w:r>
              <w:rPr>
                <w:rFonts w:ascii="仿宋_GB2312" w:hAnsi="仿宋_GB2312" w:cs="仿宋_GB2312" w:eastAsia="仿宋_GB2312"/>
              </w:rPr>
              <w:t>2、建设停车桩3处每处10个共90个。初期投入共享单车：单人车50辆，双人车20辆，亲子三人车10辆。</w:t>
            </w:r>
          </w:p>
          <w:p>
            <w:pPr>
              <w:pStyle w:val="null3"/>
            </w:pPr>
            <w:r>
              <w:rPr>
                <w:rFonts w:ascii="仿宋_GB2312" w:hAnsi="仿宋_GB2312" w:cs="仿宋_GB2312" w:eastAsia="仿宋_GB2312"/>
              </w:rPr>
              <w:t>3、整村规划观光旅游线路及停车场（包括围栏场地整理、划线、管理）。</w:t>
            </w:r>
          </w:p>
          <w:p>
            <w:pPr>
              <w:pStyle w:val="null3"/>
            </w:pPr>
            <w:r>
              <w:rPr>
                <w:rFonts w:ascii="仿宋_GB2312" w:hAnsi="仿宋_GB2312" w:cs="仿宋_GB2312" w:eastAsia="仿宋_GB2312"/>
              </w:rPr>
              <w:t>4、安装监控摄像头4处，分别是3处停车桩各1个，村委会广场1个。</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智能车锁</w:t>
            </w:r>
          </w:p>
        </w:tc>
        <w:tc>
          <w:tcPr>
            <w:tcW w:type="dxa" w:w="2076"/>
          </w:tcPr>
          <w:p>
            <w:pPr>
              <w:pStyle w:val="null3"/>
              <w:jc w:val="both"/>
            </w:pPr>
            <w:r>
              <w:rPr>
                <w:rFonts w:ascii="仿宋_GB2312" w:hAnsi="仿宋_GB2312" w:cs="仿宋_GB2312" w:eastAsia="仿宋_GB2312"/>
              </w:rPr>
              <w:t>数量：80把</w:t>
            </w:r>
          </w:p>
          <w:p>
            <w:pPr>
              <w:pStyle w:val="null3"/>
              <w:jc w:val="both"/>
            </w:pPr>
            <w:r>
              <w:rPr>
                <w:rFonts w:ascii="仿宋_GB2312" w:hAnsi="仿宋_GB2312" w:cs="仿宋_GB2312" w:eastAsia="仿宋_GB2312"/>
                <w:sz w:val="21"/>
              </w:rPr>
              <w:t>使用手动拨动锁环上锁，</w:t>
            </w:r>
            <w:r>
              <w:rPr>
                <w:rFonts w:ascii="仿宋_GB2312" w:hAnsi="仿宋_GB2312" w:cs="仿宋_GB2312" w:eastAsia="仿宋_GB2312"/>
                <w:sz w:val="21"/>
              </w:rPr>
              <w:t>APP</w:t>
            </w:r>
            <w:r>
              <w:rPr>
                <w:rFonts w:ascii="仿宋_GB2312" w:hAnsi="仿宋_GB2312" w:cs="仿宋_GB2312" w:eastAsia="仿宋_GB2312"/>
                <w:sz w:val="21"/>
              </w:rPr>
              <w:t>远程解锁及控锁</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GSM</w:t>
            </w:r>
            <w:r>
              <w:rPr>
                <w:rFonts w:ascii="仿宋_GB2312" w:hAnsi="仿宋_GB2312" w:cs="仿宋_GB2312" w:eastAsia="仿宋_GB2312"/>
                <w:sz w:val="21"/>
              </w:rPr>
              <w:t>模块可上传及下载数据，</w:t>
            </w:r>
            <w:r>
              <w:rPr>
                <w:rFonts w:ascii="仿宋_GB2312" w:hAnsi="仿宋_GB2312" w:cs="仿宋_GB2312" w:eastAsia="仿宋_GB2312"/>
                <w:sz w:val="21"/>
              </w:rPr>
              <w:t>GPS</w:t>
            </w:r>
            <w:r>
              <w:rPr>
                <w:rFonts w:ascii="仿宋_GB2312" w:hAnsi="仿宋_GB2312" w:cs="仿宋_GB2312" w:eastAsia="仿宋_GB2312"/>
                <w:sz w:val="21"/>
              </w:rPr>
              <w:t>北斗定位追踪、震动高音报警及远程报警、远程电量报警提示、蓝牙控锁速度更快更稳定</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单人观光自行车</w:t>
            </w:r>
          </w:p>
        </w:tc>
        <w:tc>
          <w:tcPr>
            <w:tcW w:type="dxa" w:w="2076"/>
          </w:tcPr>
          <w:p>
            <w:pPr>
              <w:pStyle w:val="null3"/>
              <w:jc w:val="both"/>
            </w:pPr>
            <w:r>
              <w:rPr>
                <w:rFonts w:ascii="仿宋_GB2312" w:hAnsi="仿宋_GB2312" w:cs="仿宋_GB2312" w:eastAsia="仿宋_GB2312"/>
                <w:sz w:val="21"/>
              </w:rPr>
              <w:t>数量：50辆。前叉：高碳钢前叉。中轴：双轴承传动密封中轴。链条：</w:t>
            </w:r>
            <w:r>
              <w:rPr>
                <w:rFonts w:ascii="仿宋_GB2312" w:hAnsi="仿宋_GB2312" w:cs="仿宋_GB2312" w:eastAsia="仿宋_GB2312"/>
                <w:sz w:val="21"/>
              </w:rPr>
              <w:t>tmc</w:t>
            </w:r>
            <w:r>
              <w:rPr>
                <w:rFonts w:ascii="仿宋_GB2312" w:hAnsi="仿宋_GB2312" w:cs="仿宋_GB2312" w:eastAsia="仿宋_GB2312"/>
                <w:sz w:val="21"/>
              </w:rPr>
              <w:t>链条。车把：特厚铝合金车把。车圈：</w:t>
            </w:r>
            <w:r>
              <w:rPr>
                <w:rFonts w:ascii="仿宋_GB2312" w:hAnsi="仿宋_GB2312" w:cs="仿宋_GB2312" w:eastAsia="仿宋_GB2312"/>
                <w:sz w:val="21"/>
              </w:rPr>
              <w:t>24</w:t>
            </w:r>
            <w:r>
              <w:rPr>
                <w:rFonts w:ascii="仿宋_GB2312" w:hAnsi="仿宋_GB2312" w:cs="仿宋_GB2312" w:eastAsia="仿宋_GB2312"/>
                <w:sz w:val="21"/>
              </w:rPr>
              <w:t>寸镁合金一体轮毂。轮胎：免充气优质实心胎。花鼓：前后双轴承花鼓。刹车：前后抱闸。车铃：防盗手把转零。鞍座：可手动升降调节。尺寸：</w:t>
            </w:r>
            <w:r>
              <w:rPr>
                <w:rFonts w:ascii="仿宋_GB2312" w:hAnsi="仿宋_GB2312" w:cs="仿宋_GB2312" w:eastAsia="仿宋_GB2312"/>
                <w:sz w:val="21"/>
              </w:rPr>
              <w:t>163*62*100CM</w:t>
            </w:r>
            <w:r>
              <w:rPr>
                <w:rFonts w:ascii="仿宋_GB2312" w:hAnsi="仿宋_GB2312" w:cs="仿宋_GB2312" w:eastAsia="仿宋_GB2312"/>
                <w:sz w:val="21"/>
              </w:rPr>
              <w:t>（根据山区乡村景区现场特定车辆结构配置齿比，提高传动效率满足现场线路要求）</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双人观光自行车</w:t>
            </w:r>
          </w:p>
        </w:tc>
        <w:tc>
          <w:tcPr>
            <w:tcW w:type="dxa" w:w="2076"/>
          </w:tcPr>
          <w:p>
            <w:pPr>
              <w:pStyle w:val="null3"/>
            </w:pPr>
            <w:r>
              <w:rPr>
                <w:rFonts w:ascii="仿宋_GB2312" w:hAnsi="仿宋_GB2312" w:cs="仿宋_GB2312" w:eastAsia="仿宋_GB2312"/>
              </w:rPr>
              <w:t>数量：20辆。车架:高碳钢车架。前叉:高碳钢前叉。中轴：双轴承传动中轴。车把：高档方向盘车把。车圈:24寸镁合金一体轮。轮胎:免充气轮胎。花鼓:前后双轴承花鼓。刹车:前后驱动涨闸。尺寸：176*87*180CM（根据山区乡村景区现场特定车辆结构配置齿比，提高传动效率满足现场线路要求）</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亲子四人观光自行车</w:t>
            </w:r>
          </w:p>
        </w:tc>
        <w:tc>
          <w:tcPr>
            <w:tcW w:type="dxa" w:w="2076"/>
          </w:tcPr>
          <w:p>
            <w:pPr>
              <w:pStyle w:val="null3"/>
            </w:pPr>
            <w:r>
              <w:rPr>
                <w:rFonts w:ascii="仿宋_GB2312" w:hAnsi="仿宋_GB2312" w:cs="仿宋_GB2312" w:eastAsia="仿宋_GB2312"/>
              </w:rPr>
              <w:t>数量：10辆。车架:高碳钢车架。前叉:高碳钢前叉。中轴：双轴承传动中轴。车把：高档方向盘车把。车圈:24寸铝合金一体轮。外胎:免充气轮胎。花鼓:前后双轴承花鼓。刹车:前V型后驱动涨闸。尺寸：235*96*180CM（根据山区乡村景区现场特定车辆结构配置齿比，提高传动效率满足现场线路要求）</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电动敞开观光车（三排八人座）</w:t>
            </w:r>
          </w:p>
        </w:tc>
        <w:tc>
          <w:tcPr>
            <w:tcW w:type="dxa" w:w="2076"/>
          </w:tcPr>
          <w:p>
            <w:pPr>
              <w:pStyle w:val="null3"/>
            </w:pPr>
            <w:r>
              <w:rPr>
                <w:rFonts w:ascii="仿宋_GB2312" w:hAnsi="仿宋_GB2312" w:cs="仿宋_GB2312" w:eastAsia="仿宋_GB2312"/>
              </w:rPr>
              <w:t>数量：2辆</w:t>
            </w:r>
          </w:p>
          <w:p>
            <w:pPr>
              <w:pStyle w:val="null3"/>
            </w:pPr>
            <w:r>
              <w:rPr>
                <w:rFonts w:ascii="仿宋_GB2312" w:hAnsi="仿宋_GB2312" w:cs="仿宋_GB2312" w:eastAsia="仿宋_GB2312"/>
              </w:rPr>
              <w:t>★电控：英博尔全智能电控，带有自动检测故障报警功能；</w:t>
            </w:r>
            <w:r>
              <w:br/>
            </w:r>
            <w:r>
              <w:rPr>
                <w:rFonts w:ascii="仿宋_GB2312" w:hAnsi="仿宋_GB2312" w:cs="仿宋_GB2312" w:eastAsia="仿宋_GB2312"/>
              </w:rPr>
              <w:t xml:space="preserve"> ★电池：72V200AH 锂电池；</w:t>
            </w:r>
            <w:r>
              <w:br/>
            </w:r>
            <w:r>
              <w:rPr>
                <w:rFonts w:ascii="仿宋_GB2312" w:hAnsi="仿宋_GB2312" w:cs="仿宋_GB2312" w:eastAsia="仿宋_GB2312"/>
              </w:rPr>
              <w:t xml:space="preserve"> ★电机：10KW 大功率交流电机， 噪音小，行驶平顺；</w:t>
            </w:r>
            <w:r>
              <w:br/>
            </w:r>
            <w:r>
              <w:rPr>
                <w:rFonts w:ascii="仿宋_GB2312" w:hAnsi="仿宋_GB2312" w:cs="仿宋_GB2312" w:eastAsia="仿宋_GB2312"/>
              </w:rPr>
              <w:t xml:space="preserve"> 充电机：高频脉冲电脑控制智能化充电器，充满后自动停 止，可有效延长电池使用寿命；</w:t>
            </w:r>
            <w:r>
              <w:br/>
            </w:r>
            <w:r>
              <w:rPr>
                <w:rFonts w:ascii="仿宋_GB2312" w:hAnsi="仿宋_GB2312" w:cs="仿宋_GB2312" w:eastAsia="仿宋_GB2312"/>
              </w:rPr>
              <w:t xml:space="preserve"> 充电时间：8-9 小时（放电率为 80%）；</w:t>
            </w:r>
            <w:r>
              <w:br/>
            </w:r>
            <w:r>
              <w:rPr>
                <w:rFonts w:ascii="仿宋_GB2312" w:hAnsi="仿宋_GB2312" w:cs="仿宋_GB2312" w:eastAsia="仿宋_GB2312"/>
              </w:rPr>
              <w:t xml:space="preserve"> 充电输入电压：220V；</w:t>
            </w:r>
            <w:r>
              <w:br/>
            </w:r>
            <w:r>
              <w:rPr>
                <w:rFonts w:ascii="仿宋_GB2312" w:hAnsi="仿宋_GB2312" w:cs="仿宋_GB2312" w:eastAsia="仿宋_GB2312"/>
              </w:rPr>
              <w:t xml:space="preserve"> 最大行驶速度：30km/h</w:t>
            </w:r>
            <w:r>
              <w:br/>
            </w:r>
            <w:r>
              <w:rPr>
                <w:rFonts w:ascii="仿宋_GB2312" w:hAnsi="仿宋_GB2312" w:cs="仿宋_GB2312" w:eastAsia="仿宋_GB2312"/>
              </w:rPr>
              <w:t xml:space="preserve"> 最大爬坡度：30%，制动距离：≤6m；</w:t>
            </w:r>
            <w:r>
              <w:br/>
            </w:r>
            <w:r>
              <w:rPr>
                <w:rFonts w:ascii="仿宋_GB2312" w:hAnsi="仿宋_GB2312" w:cs="仿宋_GB2312" w:eastAsia="仿宋_GB2312"/>
              </w:rPr>
              <w:t xml:space="preserve"> 最小转弯半径：6.0m，最小离地间隙：150mm；</w:t>
            </w:r>
            <w:r>
              <w:br/>
            </w:r>
            <w:r>
              <w:rPr>
                <w:rFonts w:ascii="仿宋_GB2312" w:hAnsi="仿宋_GB2312" w:cs="仿宋_GB2312" w:eastAsia="仿宋_GB2312"/>
              </w:rPr>
              <w:t xml:space="preserve"> 长宽高（MM）：4520*1580*2100，续驶里程：100-120km</w:t>
            </w:r>
            <w:r>
              <w:br/>
            </w:r>
            <w:r>
              <w:rPr>
                <w:rFonts w:ascii="仿宋_GB2312" w:hAnsi="仿宋_GB2312" w:cs="仿宋_GB2312" w:eastAsia="仿宋_GB2312"/>
              </w:rPr>
              <w:t xml:space="preserve"> 轴距：2220，额定乘员：8人；</w:t>
            </w:r>
            <w:r>
              <w:br/>
            </w:r>
            <w:r>
              <w:rPr>
                <w:rFonts w:ascii="仿宋_GB2312" w:hAnsi="仿宋_GB2312" w:cs="仿宋_GB2312" w:eastAsia="仿宋_GB2312"/>
              </w:rPr>
              <w:t xml:space="preserve"> 轮距(前后)：1350/ 1370，整车装备质量（kg）：900；</w:t>
            </w:r>
            <w:r>
              <w:br/>
            </w:r>
            <w:r>
              <w:rPr>
                <w:rFonts w:ascii="仿宋_GB2312" w:hAnsi="仿宋_GB2312" w:cs="仿宋_GB2312" w:eastAsia="仿宋_GB2312"/>
              </w:rPr>
              <w:t xml:space="preserve"> 座椅：前排独立可双向调节座椅，后排公交座椅（皮革面料+高回弹 PU、座椅带有乘客安全链）；</w:t>
            </w:r>
            <w:r>
              <w:br/>
            </w:r>
            <w:r>
              <w:rPr>
                <w:rFonts w:ascii="仿宋_GB2312" w:hAnsi="仿宋_GB2312" w:cs="仿宋_GB2312" w:eastAsia="仿宋_GB2312"/>
              </w:rPr>
              <w:t xml:space="preserve"> 车体：车身为超强度﹑ 耐腐蚀长寿命汽车铁板冲压锻造，具有美观耐用﹑ 重量轻等独特的优越性。</w:t>
            </w:r>
            <w:r>
              <w:br/>
            </w:r>
            <w:r>
              <w:rPr>
                <w:rFonts w:ascii="仿宋_GB2312" w:hAnsi="仿宋_GB2312" w:cs="仿宋_GB2312" w:eastAsia="仿宋_GB2312"/>
              </w:rPr>
              <w:t xml:space="preserve"> 仪表：高清数字仪表显示（含电压，灯光，驻车， 电量，速度等等）；</w:t>
            </w:r>
            <w:r>
              <w:br/>
            </w:r>
            <w:r>
              <w:rPr>
                <w:rFonts w:ascii="仿宋_GB2312" w:hAnsi="仿宋_GB2312" w:cs="仿宋_GB2312" w:eastAsia="仿宋_GB2312"/>
              </w:rPr>
              <w:t xml:space="preserve"> 后视镜：可调节手动型外后视镜；</w:t>
            </w:r>
            <w:r>
              <w:br/>
            </w:r>
            <w:r>
              <w:rPr>
                <w:rFonts w:ascii="仿宋_GB2312" w:hAnsi="仿宋_GB2312" w:cs="仿宋_GB2312" w:eastAsia="仿宋_GB2312"/>
              </w:rPr>
              <w:t xml:space="preserve"> 灯光及信号：LED 组合前灯、转向灯、组合后尾灯、制动灯、 电喇叭；</w:t>
            </w:r>
            <w:r>
              <w:br/>
            </w:r>
            <w:r>
              <w:rPr>
                <w:rFonts w:ascii="仿宋_GB2312" w:hAnsi="仿宋_GB2312" w:cs="仿宋_GB2312" w:eastAsia="仿宋_GB2312"/>
              </w:rPr>
              <w:t xml:space="preserve"> 开关：启动开关、灯光、进退档位开关；</w:t>
            </w:r>
            <w:r>
              <w:br/>
            </w:r>
            <w:r>
              <w:rPr>
                <w:rFonts w:ascii="仿宋_GB2312" w:hAnsi="仿宋_GB2312" w:cs="仿宋_GB2312" w:eastAsia="仿宋_GB2312"/>
              </w:rPr>
              <w:t xml:space="preserve"> 底盘：采用国标钢材结构，整体表面经酸洗磷化.耐腐蚀处理，确保常年不易锈蚀，平稳性，坚固 性极佳；</w:t>
            </w:r>
            <w:r>
              <w:br/>
            </w:r>
            <w:r>
              <w:rPr>
                <w:rFonts w:ascii="仿宋_GB2312" w:hAnsi="仿宋_GB2312" w:cs="仿宋_GB2312" w:eastAsia="仿宋_GB2312"/>
              </w:rPr>
              <w:t xml:space="preserve"> 方向盘：三幅式聚氨酯发泡方向盘，防滑，耐磨，更美观；</w:t>
            </w:r>
            <w:r>
              <w:br/>
            </w:r>
            <w:r>
              <w:rPr>
                <w:rFonts w:ascii="仿宋_GB2312" w:hAnsi="仿宋_GB2312" w:cs="仿宋_GB2312" w:eastAsia="仿宋_GB2312"/>
              </w:rPr>
              <w:t xml:space="preserve"> 动力传动系统：自动挡操作，无极变速系统；</w:t>
            </w:r>
            <w:r>
              <w:br/>
            </w:r>
            <w:r>
              <w:rPr>
                <w:rFonts w:ascii="仿宋_GB2312" w:hAnsi="仿宋_GB2312" w:cs="仿宋_GB2312" w:eastAsia="仿宋_GB2312"/>
              </w:rPr>
              <w:t xml:space="preserve"> 转向系统：左右双推齿轮齿条式方向机带间隙自动补偿功能；</w:t>
            </w:r>
            <w:r>
              <w:br/>
            </w:r>
            <w:r>
              <w:rPr>
                <w:rFonts w:ascii="仿宋_GB2312" w:hAnsi="仿宋_GB2312" w:cs="仿宋_GB2312" w:eastAsia="仿宋_GB2312"/>
              </w:rPr>
              <w:t xml:space="preserve"> 前桥及悬挂：麦弗逊式独立悬挂(螺旋弹簧+筒式液压减震)；</w:t>
            </w:r>
            <w:r>
              <w:br/>
            </w:r>
            <w:r>
              <w:rPr>
                <w:rFonts w:ascii="仿宋_GB2312" w:hAnsi="仿宋_GB2312" w:cs="仿宋_GB2312" w:eastAsia="仿宋_GB2312"/>
              </w:rPr>
              <w:t xml:space="preserve"> 后桥及悬挂：整体式加粗后桥+高强度钢板弹簧+筒式液压减震；</w:t>
            </w:r>
            <w:r>
              <w:br/>
            </w:r>
            <w:r>
              <w:rPr>
                <w:rFonts w:ascii="仿宋_GB2312" w:hAnsi="仿宋_GB2312" w:cs="仿宋_GB2312" w:eastAsia="仿宋_GB2312"/>
              </w:rPr>
              <w:t xml:space="preserve"> 制动系统：前碟后毂四轮液压刹车+手刹驻车采用液压双回路 ，带有刹车助力系统刹车更轻松，制动系 统并带机械驻车（手制动） ，安全性更强及稳定性更高；</w:t>
            </w:r>
            <w:r>
              <w:br/>
            </w:r>
            <w:r>
              <w:rPr>
                <w:rFonts w:ascii="仿宋_GB2312" w:hAnsi="仿宋_GB2312" w:cs="仿宋_GB2312" w:eastAsia="仿宋_GB2312"/>
              </w:rPr>
              <w:t xml:space="preserve"> 车轮：155 豪华真空轮胎，铝合金镜面抛光轮毂。</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电动敞开观光车（二排四人座）</w:t>
            </w:r>
          </w:p>
        </w:tc>
        <w:tc>
          <w:tcPr>
            <w:tcW w:type="dxa" w:w="2076"/>
          </w:tcPr>
          <w:p>
            <w:pPr>
              <w:pStyle w:val="null3"/>
            </w:pPr>
            <w:r>
              <w:rPr>
                <w:rFonts w:ascii="仿宋_GB2312" w:hAnsi="仿宋_GB2312" w:cs="仿宋_GB2312" w:eastAsia="仿宋_GB2312"/>
              </w:rPr>
              <w:t>数量：3辆</w:t>
            </w:r>
          </w:p>
          <w:p>
            <w:pPr>
              <w:pStyle w:val="null3"/>
            </w:pPr>
            <w:r>
              <w:rPr>
                <w:rFonts w:ascii="仿宋_GB2312" w:hAnsi="仿宋_GB2312" w:cs="仿宋_GB2312" w:eastAsia="仿宋_GB2312"/>
              </w:rPr>
              <w:t>★电控：72V 全智能英博尔原装控制器，带有自检功能；</w:t>
            </w:r>
            <w:r>
              <w:br/>
            </w:r>
            <w:r>
              <w:rPr>
                <w:rFonts w:ascii="仿宋_GB2312" w:hAnsi="仿宋_GB2312" w:cs="仿宋_GB2312" w:eastAsia="仿宋_GB2312"/>
              </w:rPr>
              <w:t xml:space="preserve"> ★电池：72v200AH 锂电池；</w:t>
            </w:r>
            <w:r>
              <w:br/>
            </w:r>
            <w:r>
              <w:rPr>
                <w:rFonts w:ascii="仿宋_GB2312" w:hAnsi="仿宋_GB2312" w:cs="仿宋_GB2312" w:eastAsia="仿宋_GB2312"/>
              </w:rPr>
              <w:t xml:space="preserve"> ★电机：7.5KW 交流电机，带有防溜坡，高温自动保护功能；</w:t>
            </w:r>
            <w:r>
              <w:br/>
            </w:r>
            <w:r>
              <w:rPr>
                <w:rFonts w:ascii="仿宋_GB2312" w:hAnsi="仿宋_GB2312" w:cs="仿宋_GB2312" w:eastAsia="仿宋_GB2312"/>
              </w:rPr>
              <w:t xml:space="preserve"> 充电机：车载式智能化充电机，充满电自动断掉；</w:t>
            </w:r>
            <w:r>
              <w:br/>
            </w:r>
            <w:r>
              <w:rPr>
                <w:rFonts w:ascii="仿宋_GB2312" w:hAnsi="仿宋_GB2312" w:cs="仿宋_GB2312" w:eastAsia="仿宋_GB2312"/>
              </w:rPr>
              <w:t xml:space="preserve"> 充电时间：6-8 小时（放电率为 80%）；</w:t>
            </w:r>
            <w:r>
              <w:br/>
            </w:r>
            <w:r>
              <w:rPr>
                <w:rFonts w:ascii="仿宋_GB2312" w:hAnsi="仿宋_GB2312" w:cs="仿宋_GB2312" w:eastAsia="仿宋_GB2312"/>
              </w:rPr>
              <w:t xml:space="preserve"> 充电输入电压：220V；</w:t>
            </w:r>
            <w:r>
              <w:br/>
            </w:r>
            <w:r>
              <w:rPr>
                <w:rFonts w:ascii="仿宋_GB2312" w:hAnsi="仿宋_GB2312" w:cs="仿宋_GB2312" w:eastAsia="仿宋_GB2312"/>
              </w:rPr>
              <w:t xml:space="preserve"> 最大行驶速度：30km/h；</w:t>
            </w:r>
            <w:r>
              <w:br/>
            </w:r>
            <w:r>
              <w:rPr>
                <w:rFonts w:ascii="仿宋_GB2312" w:hAnsi="仿宋_GB2312" w:cs="仿宋_GB2312" w:eastAsia="仿宋_GB2312"/>
              </w:rPr>
              <w:t xml:space="preserve"> 最大爬坡度：20%，制动距离：≤5m；</w:t>
            </w:r>
            <w:r>
              <w:br/>
            </w:r>
            <w:r>
              <w:rPr>
                <w:rFonts w:ascii="仿宋_GB2312" w:hAnsi="仿宋_GB2312" w:cs="仿宋_GB2312" w:eastAsia="仿宋_GB2312"/>
              </w:rPr>
              <w:t xml:space="preserve"> 最小转弯半径：5.6m，最小离地间隙：150mm；</w:t>
            </w:r>
            <w:r>
              <w:br/>
            </w:r>
            <w:r>
              <w:rPr>
                <w:rFonts w:ascii="仿宋_GB2312" w:hAnsi="仿宋_GB2312" w:cs="仿宋_GB2312" w:eastAsia="仿宋_GB2312"/>
              </w:rPr>
              <w:t xml:space="preserve"> 长宽高（MM）：2800*1250*1900，续驶里程：70-110km</w:t>
            </w:r>
            <w:r>
              <w:br/>
            </w:r>
            <w:r>
              <w:rPr>
                <w:rFonts w:ascii="仿宋_GB2312" w:hAnsi="仿宋_GB2312" w:cs="仿宋_GB2312" w:eastAsia="仿宋_GB2312"/>
              </w:rPr>
              <w:t xml:space="preserve"> 轴距：1650，额定乘员：4 人；</w:t>
            </w:r>
            <w:r>
              <w:br/>
            </w:r>
            <w:r>
              <w:rPr>
                <w:rFonts w:ascii="仿宋_GB2312" w:hAnsi="仿宋_GB2312" w:cs="仿宋_GB2312" w:eastAsia="仿宋_GB2312"/>
              </w:rPr>
              <w:t xml:space="preserve"> 轮距(前后)：900/ 1000，整车装备质量（kg）：515；</w:t>
            </w:r>
            <w:r>
              <w:br/>
            </w:r>
            <w:r>
              <w:rPr>
                <w:rFonts w:ascii="仿宋_GB2312" w:hAnsi="仿宋_GB2312" w:cs="仿宋_GB2312" w:eastAsia="仿宋_GB2312"/>
              </w:rPr>
              <w:t xml:space="preserve"> 座椅：高端联排座椅（皮革面料+高回弹 PU 座椅），后排可折叠座椅，带有独立安全带；</w:t>
            </w:r>
            <w:r>
              <w:br/>
            </w:r>
            <w:r>
              <w:rPr>
                <w:rFonts w:ascii="仿宋_GB2312" w:hAnsi="仿宋_GB2312" w:cs="仿宋_GB2312" w:eastAsia="仿宋_GB2312"/>
              </w:rPr>
              <w:t xml:space="preserve"> 车体：钢制车架＋注塑外壳/ABS 工程塑料成型件；</w:t>
            </w:r>
            <w:r>
              <w:br/>
            </w:r>
            <w:r>
              <w:rPr>
                <w:rFonts w:ascii="仿宋_GB2312" w:hAnsi="仿宋_GB2312" w:cs="仿宋_GB2312" w:eastAsia="仿宋_GB2312"/>
              </w:rPr>
              <w:t xml:space="preserve"> 仪表：仪表显示（含电压），高清大屏带倒车影像；</w:t>
            </w:r>
            <w:r>
              <w:br/>
            </w:r>
            <w:r>
              <w:rPr>
                <w:rFonts w:ascii="仿宋_GB2312" w:hAnsi="仿宋_GB2312" w:cs="仿宋_GB2312" w:eastAsia="仿宋_GB2312"/>
              </w:rPr>
              <w:t xml:space="preserve"> 后视镜：手动型外后视镜；</w:t>
            </w:r>
            <w:r>
              <w:br/>
            </w:r>
            <w:r>
              <w:rPr>
                <w:rFonts w:ascii="仿宋_GB2312" w:hAnsi="仿宋_GB2312" w:cs="仿宋_GB2312" w:eastAsia="仿宋_GB2312"/>
              </w:rPr>
              <w:t xml:space="preserve"> 灯光及信号：LED 组合前灯、转向灯、组合后尾灯、制动灯、电喇叭，头灯；</w:t>
            </w:r>
            <w:r>
              <w:br/>
            </w:r>
            <w:r>
              <w:rPr>
                <w:rFonts w:ascii="仿宋_GB2312" w:hAnsi="仿宋_GB2312" w:cs="仿宋_GB2312" w:eastAsia="仿宋_GB2312"/>
              </w:rPr>
              <w:t xml:space="preserve"> 开关：启动开关、灯光、进退档位开关；</w:t>
            </w:r>
            <w:r>
              <w:br/>
            </w:r>
            <w:r>
              <w:rPr>
                <w:rFonts w:ascii="仿宋_GB2312" w:hAnsi="仿宋_GB2312" w:cs="仿宋_GB2312" w:eastAsia="仿宋_GB2312"/>
              </w:rPr>
              <w:t xml:space="preserve"> 冰箱：后置车载可拆卸冰箱；</w:t>
            </w:r>
            <w:r>
              <w:br/>
            </w:r>
            <w:r>
              <w:rPr>
                <w:rFonts w:ascii="仿宋_GB2312" w:hAnsi="仿宋_GB2312" w:cs="仿宋_GB2312" w:eastAsia="仿宋_GB2312"/>
              </w:rPr>
              <w:t xml:space="preserve"> 方向盘：聚氨酯发泡方向盘；</w:t>
            </w:r>
            <w:r>
              <w:br/>
            </w:r>
            <w:r>
              <w:rPr>
                <w:rFonts w:ascii="仿宋_GB2312" w:hAnsi="仿宋_GB2312" w:cs="仿宋_GB2312" w:eastAsia="仿宋_GB2312"/>
              </w:rPr>
              <w:t xml:space="preserve"> 动力传动系统：无极变速系统；</w:t>
            </w:r>
            <w:r>
              <w:br/>
            </w:r>
            <w:r>
              <w:rPr>
                <w:rFonts w:ascii="仿宋_GB2312" w:hAnsi="仿宋_GB2312" w:cs="仿宋_GB2312" w:eastAsia="仿宋_GB2312"/>
              </w:rPr>
              <w:t xml:space="preserve"> 转向系统：齿轮齿条式方向机；</w:t>
            </w:r>
            <w:r>
              <w:br/>
            </w:r>
            <w:r>
              <w:rPr>
                <w:rFonts w:ascii="仿宋_GB2312" w:hAnsi="仿宋_GB2312" w:cs="仿宋_GB2312" w:eastAsia="仿宋_GB2312"/>
              </w:rPr>
              <w:t xml:space="preserve"> 前桥及悬挂：麦佛逊独立悬挂系统，乘坐舒适性高；</w:t>
            </w:r>
            <w:r>
              <w:br/>
            </w:r>
            <w:r>
              <w:rPr>
                <w:rFonts w:ascii="仿宋_GB2312" w:hAnsi="仿宋_GB2312" w:cs="仿宋_GB2312" w:eastAsia="仿宋_GB2312"/>
              </w:rPr>
              <w:t xml:space="preserve"> 后桥及悬挂：整体式后桥+高强度钢板弹簧+筒式液压减震；</w:t>
            </w:r>
            <w:r>
              <w:br/>
            </w:r>
            <w:r>
              <w:rPr>
                <w:rFonts w:ascii="仿宋_GB2312" w:hAnsi="仿宋_GB2312" w:cs="仿宋_GB2312" w:eastAsia="仿宋_GB2312"/>
              </w:rPr>
              <w:t xml:space="preserve"> 制动系统：四轮鼓式液压制动器、双回路液压制动、驻车制动装置</w:t>
            </w:r>
            <w:r>
              <w:br/>
            </w:r>
            <w:r>
              <w:rPr>
                <w:rFonts w:ascii="仿宋_GB2312" w:hAnsi="仿宋_GB2312" w:cs="仿宋_GB2312" w:eastAsia="仿宋_GB2312"/>
              </w:rPr>
              <w:t xml:space="preserve"> 车轮：14 寸真空子午胎。</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停车棚</w:t>
            </w:r>
          </w:p>
        </w:tc>
        <w:tc>
          <w:tcPr>
            <w:tcW w:type="dxa" w:w="2076"/>
          </w:tcPr>
          <w:p>
            <w:pPr>
              <w:pStyle w:val="null3"/>
            </w:pPr>
            <w:r>
              <w:rPr>
                <w:rFonts w:ascii="仿宋_GB2312" w:hAnsi="仿宋_GB2312" w:cs="仿宋_GB2312" w:eastAsia="仿宋_GB2312"/>
              </w:rPr>
              <w:t>数量：3处</w:t>
            </w:r>
          </w:p>
          <w:p>
            <w:pPr>
              <w:pStyle w:val="null3"/>
            </w:pPr>
            <w:r>
              <w:rPr>
                <w:rFonts w:ascii="仿宋_GB2312" w:hAnsi="仿宋_GB2312" w:cs="仿宋_GB2312" w:eastAsia="仿宋_GB2312"/>
              </w:rPr>
              <w:t>每个站点雨棚面积约56平方米（宽2*长28），钢结构及篷布制作安装。</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站点停车桩槽</w:t>
            </w:r>
          </w:p>
        </w:tc>
        <w:tc>
          <w:tcPr>
            <w:tcW w:type="dxa" w:w="2076"/>
          </w:tcPr>
          <w:p>
            <w:pPr>
              <w:pStyle w:val="null3"/>
            </w:pPr>
            <w:r>
              <w:rPr>
                <w:rFonts w:ascii="仿宋_GB2312" w:hAnsi="仿宋_GB2312" w:cs="仿宋_GB2312" w:eastAsia="仿宋_GB2312"/>
              </w:rPr>
              <w:t>数量：90个</w:t>
            </w:r>
          </w:p>
          <w:p>
            <w:pPr>
              <w:pStyle w:val="null3"/>
            </w:pPr>
            <w:r>
              <w:rPr>
                <w:rFonts w:ascii="仿宋_GB2312" w:hAnsi="仿宋_GB2312" w:cs="仿宋_GB2312" w:eastAsia="仿宋_GB2312"/>
              </w:rPr>
              <w:t>镀锌桩槽</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车棚基础</w:t>
            </w:r>
          </w:p>
        </w:tc>
        <w:tc>
          <w:tcPr>
            <w:tcW w:type="dxa" w:w="2076"/>
          </w:tcPr>
          <w:p>
            <w:pPr>
              <w:pStyle w:val="null3"/>
            </w:pPr>
            <w:r>
              <w:rPr>
                <w:rFonts w:ascii="仿宋_GB2312" w:hAnsi="仿宋_GB2312" w:cs="仿宋_GB2312" w:eastAsia="仿宋_GB2312"/>
              </w:rPr>
              <w:t>数量：3处</w:t>
            </w:r>
          </w:p>
          <w:p>
            <w:pPr>
              <w:pStyle w:val="null3"/>
              <w:jc w:val="both"/>
            </w:pPr>
            <w:r>
              <w:rPr>
                <w:rFonts w:ascii="仿宋_GB2312" w:hAnsi="仿宋_GB2312" w:cs="仿宋_GB2312" w:eastAsia="仿宋_GB2312"/>
                <w:sz w:val="21"/>
                <w:color w:val="000000"/>
              </w:rPr>
              <w:t>每个站点地面面积约</w:t>
            </w:r>
            <w:r>
              <w:rPr>
                <w:rFonts w:ascii="仿宋_GB2312" w:hAnsi="仿宋_GB2312" w:cs="仿宋_GB2312" w:eastAsia="仿宋_GB2312"/>
                <w:sz w:val="21"/>
                <w:color w:val="000000"/>
              </w:rPr>
              <w:t>56平方米（宽2*长28），基础开挖、打桩、基层夯实，基础螺栓预埋混凝土浇筑等。</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自行车共享云平台</w:t>
            </w:r>
          </w:p>
        </w:tc>
        <w:tc>
          <w:tcPr>
            <w:tcW w:type="dxa" w:w="2076"/>
          </w:tcPr>
          <w:p>
            <w:pPr>
              <w:pStyle w:val="null3"/>
              <w:jc w:val="both"/>
            </w:pPr>
            <w:r>
              <w:rPr>
                <w:rFonts w:ascii="仿宋_GB2312" w:hAnsi="仿宋_GB2312" w:cs="仿宋_GB2312" w:eastAsia="仿宋_GB2312"/>
                <w:sz w:val="21"/>
                <w:color w:val="000000"/>
              </w:rPr>
              <w:t>1.扫码支持微信小程序；</w:t>
            </w:r>
            <w:r>
              <w:br/>
            </w:r>
            <w:r>
              <w:rPr>
                <w:rFonts w:ascii="仿宋_GB2312" w:hAnsi="仿宋_GB2312" w:cs="仿宋_GB2312" w:eastAsia="仿宋_GB2312"/>
                <w:sz w:val="21"/>
                <w:color w:val="000000"/>
              </w:rPr>
              <w:t>2.系统配备微信小程序端，和运维端；</w:t>
            </w:r>
            <w:r>
              <w:br/>
            </w:r>
            <w:r>
              <w:rPr>
                <w:rFonts w:ascii="仿宋_GB2312" w:hAnsi="仿宋_GB2312" w:cs="仿宋_GB2312" w:eastAsia="仿宋_GB2312"/>
                <w:sz w:val="21"/>
                <w:color w:val="000000"/>
              </w:rPr>
              <w:t>3.Wap 端适时流水统计。</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无电无网户外球形高清智能监控</w:t>
            </w:r>
          </w:p>
        </w:tc>
        <w:tc>
          <w:tcPr>
            <w:tcW w:type="dxa" w:w="2076"/>
          </w:tcPr>
          <w:p>
            <w:pPr>
              <w:pStyle w:val="null3"/>
              <w:jc w:val="both"/>
            </w:pPr>
            <w:r>
              <w:rPr>
                <w:rFonts w:ascii="仿宋_GB2312" w:hAnsi="仿宋_GB2312" w:cs="仿宋_GB2312" w:eastAsia="仿宋_GB2312"/>
                <w:sz w:val="21"/>
                <w:color w:val="000000"/>
              </w:rPr>
              <w:t>免费</w:t>
            </w:r>
            <w:r>
              <w:rPr>
                <w:rFonts w:ascii="仿宋_GB2312" w:hAnsi="仿宋_GB2312" w:cs="仿宋_GB2312" w:eastAsia="仿宋_GB2312"/>
                <w:sz w:val="21"/>
                <w:color w:val="000000"/>
              </w:rPr>
              <w:t>4G流量，24W太阳能电池，512GB大内存，300万高清像素</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投放方案设计、现场安装</w:t>
            </w:r>
          </w:p>
        </w:tc>
        <w:tc>
          <w:tcPr>
            <w:tcW w:type="dxa" w:w="2076"/>
          </w:tcPr>
          <w:p>
            <w:pPr>
              <w:pStyle w:val="null3"/>
            </w:pPr>
            <w:r>
              <w:rPr>
                <w:rFonts w:ascii="仿宋_GB2312" w:hAnsi="仿宋_GB2312" w:cs="仿宋_GB2312" w:eastAsia="仿宋_GB2312"/>
              </w:rPr>
              <w:t>投放方案设计：项目考察、还车点设计、标识标牌设计等整体方案。</w:t>
            </w:r>
          </w:p>
          <w:p>
            <w:pPr>
              <w:pStyle w:val="null3"/>
            </w:pPr>
            <w:r>
              <w:rPr>
                <w:rFonts w:ascii="仿宋_GB2312" w:hAnsi="仿宋_GB2312" w:cs="仿宋_GB2312" w:eastAsia="仿宋_GB2312"/>
              </w:rPr>
              <w:t>现场安装实施：人工、耗材、运费</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质量保证</w:t>
            </w:r>
          </w:p>
        </w:tc>
        <w:tc>
          <w:tcPr>
            <w:tcW w:type="dxa" w:w="2076"/>
          </w:tcPr>
          <w:p>
            <w:pPr>
              <w:pStyle w:val="null3"/>
              <w:jc w:val="both"/>
            </w:pPr>
            <w:r>
              <w:rPr>
                <w:rFonts w:ascii="仿宋_GB2312" w:hAnsi="仿宋_GB2312" w:cs="仿宋_GB2312" w:eastAsia="仿宋_GB2312"/>
                <w:sz w:val="21"/>
                <w:color w:val="000000"/>
              </w:rPr>
              <w:t>观光自行车：</w:t>
            </w:r>
            <w:r>
              <w:rPr>
                <w:rFonts w:ascii="仿宋_GB2312" w:hAnsi="仿宋_GB2312" w:cs="仿宋_GB2312" w:eastAsia="仿宋_GB2312"/>
                <w:sz w:val="21"/>
                <w:color w:val="000000"/>
              </w:rPr>
              <w:t>车架质保一年，</w:t>
            </w:r>
            <w:r>
              <w:rPr>
                <w:rFonts w:ascii="仿宋_GB2312" w:hAnsi="仿宋_GB2312" w:cs="仿宋_GB2312" w:eastAsia="仿宋_GB2312"/>
                <w:sz w:val="21"/>
                <w:color w:val="000000"/>
              </w:rPr>
              <w:t>保质期内产品自身出现质量问题，乙方免费邮寄且免费提供所需的配件。</w:t>
            </w:r>
          </w:p>
          <w:p>
            <w:pPr>
              <w:pStyle w:val="null3"/>
              <w:jc w:val="both"/>
            </w:pPr>
            <w:r>
              <w:rPr>
                <w:rFonts w:ascii="仿宋_GB2312" w:hAnsi="仿宋_GB2312" w:cs="仿宋_GB2312" w:eastAsia="仿宋_GB2312"/>
                <w:sz w:val="21"/>
                <w:color w:val="000000"/>
              </w:rPr>
              <w:t>电动敞开观光车：</w:t>
            </w:r>
            <w:r>
              <w:rPr>
                <w:rFonts w:ascii="仿宋_GB2312" w:hAnsi="仿宋_GB2312" w:cs="仿宋_GB2312" w:eastAsia="仿宋_GB2312"/>
                <w:sz w:val="21"/>
                <w:color w:val="000000"/>
              </w:rPr>
              <w:t>整车质保一年，</w:t>
            </w:r>
            <w:r>
              <w:rPr>
                <w:rFonts w:ascii="仿宋_GB2312" w:hAnsi="仿宋_GB2312" w:cs="仿宋_GB2312" w:eastAsia="仿宋_GB2312"/>
                <w:sz w:val="21"/>
                <w:color w:val="000000"/>
              </w:rPr>
              <w:t>自交车之日起整车机械部分、电机、控制器、充电机、电池等主要部件售后服务保修期为壹年。电池壹年内容量低于额定电量的</w:t>
            </w:r>
            <w:r>
              <w:rPr>
                <w:rFonts w:ascii="仿宋_GB2312" w:hAnsi="仿宋_GB2312" w:cs="仿宋_GB2312" w:eastAsia="仿宋_GB2312"/>
                <w:sz w:val="21"/>
                <w:color w:val="000000"/>
              </w:rPr>
              <w:t>40%负责包换。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所有设备（产品）数量、型号、技术指标及配置等全部按磋商文件、响应文件及澄清函等进行验收。各项指标均应符合要求，若所验设备（产品）的指标、性能参数通过验收达不到要求，或在使用中发现采购人不能容忍的缺陷等，将视为设备（产品）验收不合格，供应商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按照竞争性磋商文件及合同规定执行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根据合同，按照《中华人民共和国民法典》中的相关条款执行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商务条款为实质性条款，不允许负偏离。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企业法人提供营业执照、组织机构代码证、税务登记证（或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1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法案件当事人名单，不得为中国政府采购网（w 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法定代表人身份证明或法定代表人授权书.docx 产品技术参数表 供应商认为有必要补充说明的事项.docx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法定代表人身份证明或法定代表人授权书.docx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法定代表人身份证明或法定代表人授权书.docx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 未超出采购预算或最高限价。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根据本项目需求提供完善得项目实施方案，实施方案中包括针对本项目的管理方案、组织机构、备货、供货、包装运输安排及保证措施、工作流程、工作内容、设备安装、调试等内容，根据实施方案进行评审： 1、实施方案全面、详细具体，组织思路清晰，安排合理科学，且针对性和可实施性强，完全能够保证项目有序、高效、优质实施，得(10-15]分； 2、实施方案基本全面，有组织机构安排,但不够详细全面,人员安排较为合理，供货安排、运输及备货组织方案较为详细，但存在少量考虑不全的地方，不影响整体实施，得(5-10]分； 3、实施方案不够全面详细，组织机构安排不清楚，人员安排不够合理，难以保证供货要求，供货安排、运输及备货组织方案简单，缺失内容较多，较难保证项目的整体实施质量和效率，得(0-5]分。未提供得0分。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车辆配备方案</w:t>
            </w:r>
          </w:p>
        </w:tc>
        <w:tc>
          <w:tcPr>
            <w:tcW w:type="dxa" w:w="2492"/>
          </w:tcPr>
          <w:p>
            <w:pPr>
              <w:pStyle w:val="null3"/>
            </w:pPr>
            <w:r>
              <w:rPr>
                <w:rFonts w:ascii="仿宋_GB2312" w:hAnsi="仿宋_GB2312" w:cs="仿宋_GB2312" w:eastAsia="仿宋_GB2312"/>
              </w:rPr>
              <w:t>车辆配备方案：综合考虑供应商针对本项目拟投入的车辆配备方案进行评审 1.车辆配备齐全、合理，型号先进，完全满足项目要求，得10分； 2.车辆配备齐全，合理性一般，型号较先进，能够满足项目要求，得8分； 3.车辆配备较落后且基本满足项目要求，得5分； 4.无法满足项目要求或未提供的不得分。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 1、提供详细的售后服务方案与承诺（包括售后服务机构网点）（6分）： 售后服务标准高、服务措施完善、售后流程清晰易行，维修响应速率高；售后服务网点与专业技术人员配置合理充足（4-6]分; 售后服务标准尚且规范、服务响应速度较为及时、服务流程较清晰；具有售后服务网点与专业技术人员（2-4]分； 售后服务方案笼统，响应效率低；售后服务网点及技术人员缺失，或无本项方案（0-2]分，未提供得0分。 2、备品备件提供情况，根据每个车型提供的种类、数量、实用性、质量保证等方面综合比较（4分）： 备品备件齐全，规格档次适合项目情况（2-4]分； 备品备件不全，规格档次低，无法满足项目需求（0-2]分，未提供得0分。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全面、完整、可行、有针对性。负责为采购人培训操作维护人员，并有完整的培训方案，列出详细的培训内容、培训方式等说明。培训计划使采购人相关人员能够熟练掌握设备操作计（6-9]分，能够排除一般故障计（3-6]分，使采购人相关人员可以操作、无法顺利排除一般故障，依据培训计划计（0-3]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质量保证措施方案，所投产品性能稳定、有完善的质量保证措施、使用效果好，能够确保所投车辆的安全性能及安全保证，且使用单位能熟练操作维护和正常使用。 方案科学合理，描述清晰，且能针对性满足项目需求的得（6-9]分； 方案合理，但陈述简单，缺乏针对性的得（3-6]分； 方案笼统的得（0-3]分； 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磋商产品进货渠道正规，有对本项目完整合法有效的供货协议，确保供应的产品无假货、无产权纠纷。供应商为制造厂家的提供整机生产承诺书或相关证明材料，供应商为经销商的提供磋商产品合法来源渠道证明文件（包括但不限于：产品制造商授权或销售协议或代理协议等）。 承诺书、产品合法来源渠道证明文件完整，齐全的计(4-6]分； 承诺书、产品合法来源渠道证明文件较完整，较齐全的计(2-4]分； 承诺书、产品合法来源渠道证明文件不完整，不齐全的计(0-2]分； 未提供的得0分。 备注：以加盖供应商公章的证明材料扫描件或复印件为计分依据。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车辆工艺及材质</w:t>
            </w:r>
          </w:p>
        </w:tc>
        <w:tc>
          <w:tcPr>
            <w:tcW w:type="dxa" w:w="2492"/>
          </w:tcPr>
          <w:p>
            <w:pPr>
              <w:pStyle w:val="null3"/>
            </w:pPr>
            <w:r>
              <w:rPr>
                <w:rFonts w:ascii="仿宋_GB2312" w:hAnsi="仿宋_GB2312" w:cs="仿宋_GB2312" w:eastAsia="仿宋_GB2312"/>
              </w:rPr>
              <w:t>提供车辆工艺及材质的详细说明。 投标车辆的关键部件采用先进工艺加工、选用材料优良，设备质量优良、配件耐久性好，维修率低（3-5]分； 投标车辆的关键部件选用材料一般，设备质量交号、配件耐久性一般（0-3]分，未提供得0分。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提供2022年3月至今类似项目的业绩证明材料（以合同签订日期为准）。每提供一份有效合同计2分，总计6分。 业绩证明（以合同或成交通知书为准，须附合同或成交通知书的扫描件加盖单位公章，原件备查）。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1、满足磋商文件实质性要求且最终报价最低的供应商的价格为磋商基准价，其价格分为满分30分。 2、磋商报价得分=（磋商基准价/最终磋商报价）×30。 3、磋商报价不完整的，不进入磋商基准价的计算，本项得0分。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