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8AA53">
      <w:pPr>
        <w:pStyle w:val="3"/>
        <w:numPr>
          <w:ilvl w:val="0"/>
          <w:numId w:val="0"/>
        </w:numPr>
        <w:jc w:val="center"/>
        <w:outlineLvl w:val="0"/>
        <w:rPr>
          <w:rFonts w:hint="eastAsia" w:ascii="仿宋" w:hAnsi="仿宋" w:eastAsia="仿宋" w:cs="仿宋"/>
          <w:bCs/>
          <w:color w:val="auto"/>
          <w:sz w:val="36"/>
          <w:szCs w:val="36"/>
        </w:rPr>
      </w:pPr>
      <w:r>
        <w:rPr>
          <w:rFonts w:hint="eastAsia" w:ascii="仿宋" w:hAnsi="仿宋" w:eastAsia="仿宋" w:cs="仿宋"/>
          <w:bCs/>
          <w:color w:val="auto"/>
          <w:sz w:val="36"/>
          <w:szCs w:val="36"/>
        </w:rPr>
        <w:t>合同</w:t>
      </w:r>
      <w:r>
        <w:rPr>
          <w:rFonts w:hint="eastAsia" w:ascii="仿宋" w:hAnsi="仿宋" w:eastAsia="仿宋" w:cs="仿宋"/>
          <w:bCs/>
          <w:color w:val="auto"/>
          <w:sz w:val="36"/>
          <w:szCs w:val="36"/>
          <w:lang w:val="en-US" w:eastAsia="zh-CN"/>
        </w:rPr>
        <w:t>主要</w:t>
      </w:r>
      <w:r>
        <w:rPr>
          <w:rFonts w:hint="eastAsia" w:ascii="仿宋" w:hAnsi="仿宋" w:eastAsia="仿宋" w:cs="仿宋"/>
          <w:bCs/>
          <w:color w:val="auto"/>
          <w:sz w:val="36"/>
          <w:szCs w:val="36"/>
        </w:rPr>
        <w:t>条款</w:t>
      </w:r>
    </w:p>
    <w:p w14:paraId="76933165">
      <w:pPr>
        <w:rPr>
          <w:rFonts w:hint="eastAsia" w:ascii="仿宋" w:hAnsi="仿宋" w:eastAsia="仿宋" w:cs="仿宋"/>
          <w:bCs/>
          <w:color w:val="auto"/>
          <w:sz w:val="36"/>
          <w:szCs w:val="36"/>
        </w:rPr>
      </w:pPr>
    </w:p>
    <w:p w14:paraId="5DE2D692">
      <w:pPr>
        <w:spacing w:line="560" w:lineRule="exact"/>
        <w:rPr>
          <w:rFonts w:ascii="仿宋" w:hAnsi="仿宋" w:eastAsia="仿宋" w:cs="Times New Roman"/>
          <w:color w:val="auto"/>
          <w:kern w:val="0"/>
          <w:sz w:val="28"/>
          <w:szCs w:val="28"/>
        </w:rPr>
      </w:pPr>
      <w:r>
        <w:rPr>
          <w:rFonts w:hint="eastAsia" w:ascii="仿宋" w:hAnsi="仿宋" w:eastAsia="仿宋" w:cs="Times New Roman"/>
          <w:color w:val="auto"/>
          <w:kern w:val="0"/>
          <w:sz w:val="28"/>
          <w:szCs w:val="28"/>
        </w:rPr>
        <w:t xml:space="preserve">合同编号：         </w:t>
      </w:r>
    </w:p>
    <w:p w14:paraId="311E4C4B">
      <w:pPr>
        <w:spacing w:line="240" w:lineRule="auto"/>
        <w:rPr>
          <w:rFonts w:ascii="仿宋" w:hAnsi="仿宋" w:eastAsia="仿宋" w:cs="Times New Roman"/>
          <w:color w:val="auto"/>
          <w:kern w:val="0"/>
          <w:sz w:val="24"/>
          <w:szCs w:val="24"/>
        </w:rPr>
      </w:pPr>
    </w:p>
    <w:p w14:paraId="4F10D7A7">
      <w:pPr>
        <w:spacing w:line="240" w:lineRule="auto"/>
        <w:rPr>
          <w:rFonts w:ascii="仿宋" w:hAnsi="仿宋" w:eastAsia="仿宋" w:cs="Times New Roman"/>
          <w:color w:val="auto"/>
          <w:kern w:val="0"/>
          <w:sz w:val="24"/>
          <w:szCs w:val="24"/>
        </w:rPr>
      </w:pPr>
    </w:p>
    <w:p w14:paraId="7C0EFD58">
      <w:pPr>
        <w:widowControl w:val="0"/>
        <w:spacing w:line="324" w:lineRule="auto"/>
        <w:jc w:val="both"/>
        <w:rPr>
          <w:rFonts w:hint="eastAsia" w:ascii="仿宋" w:hAnsi="仿宋" w:eastAsia="仿宋" w:cs="Courier New"/>
          <w:color w:val="auto"/>
          <w:kern w:val="2"/>
          <w:sz w:val="21"/>
          <w:szCs w:val="21"/>
          <w:lang w:val="en-US" w:eastAsia="zh-CN" w:bidi="ar-SA"/>
        </w:rPr>
      </w:pPr>
    </w:p>
    <w:p w14:paraId="2FE6BE19">
      <w:pPr>
        <w:spacing w:after="120" w:line="560" w:lineRule="exact"/>
        <w:jc w:val="center"/>
        <w:rPr>
          <w:rFonts w:hint="eastAsia" w:ascii="仿宋" w:hAnsi="仿宋" w:eastAsia="仿宋" w:cs="Times New Roman"/>
          <w:b/>
          <w:bCs/>
          <w:color w:val="auto"/>
          <w:kern w:val="0"/>
          <w:sz w:val="32"/>
          <w:szCs w:val="32"/>
          <w:u w:val="single"/>
        </w:rPr>
      </w:pPr>
      <w:r>
        <w:rPr>
          <w:rFonts w:hint="eastAsia" w:ascii="仿宋" w:hAnsi="仿宋" w:eastAsia="仿宋" w:cs="Times New Roman"/>
          <w:b/>
          <w:bCs/>
          <w:color w:val="auto"/>
          <w:kern w:val="0"/>
          <w:sz w:val="36"/>
          <w:szCs w:val="36"/>
          <w:u w:val="single"/>
          <w:lang w:val="en-US" w:eastAsia="zh-CN"/>
        </w:rPr>
        <w:t xml:space="preserve">                       </w:t>
      </w:r>
      <w:r>
        <w:rPr>
          <w:rFonts w:hint="eastAsia" w:ascii="仿宋" w:hAnsi="仿宋" w:eastAsia="仿宋" w:cs="Times New Roman"/>
          <w:b/>
          <w:bCs/>
          <w:color w:val="auto"/>
          <w:kern w:val="0"/>
          <w:sz w:val="36"/>
          <w:szCs w:val="36"/>
          <w:u w:val="single"/>
        </w:rPr>
        <w:t>项目</w:t>
      </w:r>
    </w:p>
    <w:p w14:paraId="439A3332">
      <w:pPr>
        <w:spacing w:after="120" w:line="560" w:lineRule="exact"/>
        <w:rPr>
          <w:rFonts w:hint="eastAsia" w:ascii="仿宋" w:hAnsi="仿宋" w:eastAsia="仿宋" w:cs="Times New Roman"/>
          <w:color w:val="auto"/>
          <w:kern w:val="0"/>
          <w:sz w:val="24"/>
          <w:szCs w:val="24"/>
        </w:rPr>
      </w:pPr>
      <w:r>
        <w:rPr>
          <w:rFonts w:ascii="仿宋" w:hAnsi="仿宋" w:eastAsia="仿宋" w:cs="Times New Roman"/>
          <w:color w:val="auto"/>
          <w:kern w:val="0"/>
          <w:sz w:val="24"/>
          <w:szCs w:val="24"/>
        </w:rPr>
        <w:t xml:space="preserve"> </w:t>
      </w:r>
    </w:p>
    <w:p w14:paraId="09F2DF45">
      <w:pPr>
        <w:spacing w:after="120" w:line="560" w:lineRule="exact"/>
        <w:rPr>
          <w:rFonts w:ascii="仿宋" w:hAnsi="仿宋" w:eastAsia="仿宋" w:cs="Times New Roman"/>
          <w:b/>
          <w:bCs/>
          <w:color w:val="auto"/>
          <w:kern w:val="0"/>
          <w:sz w:val="32"/>
          <w:szCs w:val="32"/>
          <w:highlight w:val="yellow"/>
        </w:rPr>
      </w:pPr>
      <w:r>
        <w:rPr>
          <w:rFonts w:ascii="仿宋" w:hAnsi="仿宋" w:eastAsia="仿宋" w:cs="Times New Roman"/>
          <w:color w:val="auto"/>
          <w:kern w:val="0"/>
          <w:sz w:val="24"/>
          <w:szCs w:val="24"/>
        </w:rPr>
        <w:t xml:space="preserve"> </w:t>
      </w:r>
    </w:p>
    <w:p w14:paraId="61B90BD2">
      <w:pPr>
        <w:keepNext/>
        <w:keepLines/>
        <w:widowControl w:val="0"/>
        <w:spacing w:before="280" w:beforeLines="0" w:after="290" w:afterLines="0" w:line="376" w:lineRule="auto"/>
        <w:jc w:val="both"/>
        <w:outlineLvl w:val="3"/>
        <w:rPr>
          <w:rFonts w:ascii="仿宋" w:hAnsi="仿宋" w:eastAsia="仿宋" w:cs="Times New Roman"/>
          <w:b/>
          <w:bCs/>
          <w:color w:val="auto"/>
          <w:kern w:val="2"/>
          <w:sz w:val="28"/>
          <w:szCs w:val="28"/>
          <w:highlight w:val="yellow"/>
          <w:lang w:val="en-US" w:eastAsia="zh-CN" w:bidi="ar-SA"/>
        </w:rPr>
      </w:pPr>
    </w:p>
    <w:p w14:paraId="603FFFC1">
      <w:pPr>
        <w:spacing w:line="560" w:lineRule="exact"/>
        <w:jc w:val="center"/>
        <w:rPr>
          <w:rFonts w:hint="eastAsia" w:ascii="仿宋" w:hAnsi="仿宋" w:eastAsia="仿宋" w:cs="Times New Roman"/>
          <w:b/>
          <w:bCs/>
          <w:color w:val="auto"/>
          <w:kern w:val="0"/>
          <w:sz w:val="44"/>
          <w:szCs w:val="44"/>
        </w:rPr>
      </w:pPr>
      <w:r>
        <w:rPr>
          <w:rFonts w:hint="eastAsia" w:ascii="仿宋" w:hAnsi="仿宋" w:eastAsia="仿宋" w:cs="Times New Roman"/>
          <w:b/>
          <w:bCs/>
          <w:color w:val="auto"/>
          <w:kern w:val="0"/>
          <w:sz w:val="44"/>
          <w:szCs w:val="44"/>
        </w:rPr>
        <w:t xml:space="preserve"> </w:t>
      </w:r>
    </w:p>
    <w:p w14:paraId="060D168D">
      <w:pPr>
        <w:spacing w:line="560" w:lineRule="exact"/>
        <w:jc w:val="center"/>
        <w:rPr>
          <w:rFonts w:hint="eastAsia" w:ascii="仿宋" w:hAnsi="仿宋" w:eastAsia="仿宋" w:cs="Times New Roman"/>
          <w:b/>
          <w:bCs/>
          <w:color w:val="auto"/>
          <w:kern w:val="0"/>
          <w:sz w:val="44"/>
          <w:szCs w:val="44"/>
        </w:rPr>
      </w:pPr>
      <w:r>
        <w:rPr>
          <w:rFonts w:hint="eastAsia" w:ascii="仿宋" w:hAnsi="仿宋" w:eastAsia="仿宋" w:cs="Times New Roman"/>
          <w:b/>
          <w:bCs/>
          <w:color w:val="auto"/>
          <w:kern w:val="0"/>
          <w:sz w:val="44"/>
          <w:szCs w:val="44"/>
        </w:rPr>
        <w:t xml:space="preserve"> </w:t>
      </w:r>
    </w:p>
    <w:p w14:paraId="6C0B3AE5">
      <w:pPr>
        <w:spacing w:line="560" w:lineRule="exact"/>
        <w:jc w:val="center"/>
        <w:rPr>
          <w:rFonts w:hint="eastAsia" w:ascii="仿宋" w:hAnsi="仿宋" w:eastAsia="仿宋" w:cs="Times New Roman"/>
          <w:b/>
          <w:bCs/>
          <w:color w:val="auto"/>
          <w:kern w:val="0"/>
          <w:sz w:val="44"/>
          <w:szCs w:val="44"/>
        </w:rPr>
      </w:pPr>
      <w:r>
        <w:rPr>
          <w:rFonts w:hint="eastAsia" w:ascii="仿宋" w:hAnsi="仿宋" w:eastAsia="仿宋" w:cs="Times New Roman"/>
          <w:b/>
          <w:bCs/>
          <w:color w:val="auto"/>
          <w:kern w:val="0"/>
          <w:sz w:val="44"/>
          <w:szCs w:val="44"/>
        </w:rPr>
        <w:t>供 货 合 同</w:t>
      </w:r>
    </w:p>
    <w:p w14:paraId="29587D01">
      <w:pPr>
        <w:spacing w:line="560" w:lineRule="exact"/>
        <w:jc w:val="center"/>
        <w:rPr>
          <w:rFonts w:hint="eastAsia" w:ascii="仿宋" w:hAnsi="仿宋" w:eastAsia="仿宋" w:cs="Times New Roman"/>
          <w:color w:val="auto"/>
          <w:kern w:val="0"/>
          <w:sz w:val="32"/>
          <w:szCs w:val="32"/>
        </w:rPr>
      </w:pPr>
      <w:r>
        <w:rPr>
          <w:rFonts w:hint="eastAsia" w:ascii="仿宋" w:hAnsi="仿宋" w:eastAsia="仿宋" w:cs="Times New Roman"/>
          <w:color w:val="auto"/>
          <w:kern w:val="0"/>
          <w:sz w:val="32"/>
          <w:szCs w:val="32"/>
        </w:rPr>
        <w:t xml:space="preserve"> </w:t>
      </w:r>
    </w:p>
    <w:p w14:paraId="28759D0B">
      <w:pPr>
        <w:spacing w:line="560" w:lineRule="exact"/>
        <w:rPr>
          <w:rFonts w:hint="eastAsia" w:ascii="仿宋" w:hAnsi="仿宋" w:eastAsia="仿宋" w:cs="Times New Roman"/>
          <w:color w:val="auto"/>
          <w:kern w:val="0"/>
          <w:sz w:val="28"/>
          <w:szCs w:val="28"/>
        </w:rPr>
      </w:pPr>
      <w:r>
        <w:rPr>
          <w:rFonts w:hint="eastAsia" w:ascii="仿宋" w:hAnsi="仿宋" w:eastAsia="仿宋" w:cs="Times New Roman"/>
          <w:color w:val="auto"/>
          <w:kern w:val="0"/>
          <w:sz w:val="30"/>
          <w:szCs w:val="30"/>
        </w:rPr>
        <w:t xml:space="preserve"> </w:t>
      </w:r>
    </w:p>
    <w:p w14:paraId="61FD14FF">
      <w:pPr>
        <w:spacing w:line="560" w:lineRule="exact"/>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 xml:space="preserve"> </w:t>
      </w:r>
    </w:p>
    <w:p w14:paraId="414F86D6">
      <w:pPr>
        <w:spacing w:line="560" w:lineRule="exact"/>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rPr>
        <w:t xml:space="preserve"> </w:t>
      </w:r>
    </w:p>
    <w:p w14:paraId="7B4A0CE9">
      <w:pPr>
        <w:spacing w:line="560" w:lineRule="exact"/>
        <w:jc w:val="center"/>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rPr>
        <w:t xml:space="preserve"> </w:t>
      </w:r>
    </w:p>
    <w:p w14:paraId="7CC764A9">
      <w:pPr>
        <w:spacing w:line="560" w:lineRule="exact"/>
        <w:ind w:firstLine="964" w:firstLineChars="400"/>
        <w:rPr>
          <w:rFonts w:hint="eastAsia" w:ascii="仿宋" w:hAnsi="仿宋" w:eastAsia="仿宋" w:cs="Times New Roman"/>
          <w:b/>
          <w:bCs/>
          <w:color w:val="auto"/>
          <w:kern w:val="0"/>
          <w:sz w:val="24"/>
          <w:szCs w:val="24"/>
          <w:highlight w:val="yellow"/>
        </w:rPr>
      </w:pPr>
      <w:r>
        <w:rPr>
          <w:rFonts w:hint="eastAsia" w:ascii="仿宋" w:hAnsi="仿宋" w:eastAsia="仿宋" w:cs="Times New Roman"/>
          <w:b/>
          <w:bCs/>
          <w:color w:val="auto"/>
          <w:kern w:val="0"/>
          <w:sz w:val="24"/>
          <w:szCs w:val="24"/>
        </w:rPr>
        <w:t>甲  方：（根据实际情况填写）</w:t>
      </w:r>
    </w:p>
    <w:p w14:paraId="6ED7603F">
      <w:pPr>
        <w:spacing w:line="560" w:lineRule="exact"/>
        <w:ind w:firstLine="964" w:firstLineChars="4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rPr>
        <w:t xml:space="preserve"> </w:t>
      </w:r>
    </w:p>
    <w:p w14:paraId="2C3C8648">
      <w:pPr>
        <w:spacing w:line="560" w:lineRule="exact"/>
        <w:ind w:firstLine="964" w:firstLineChars="4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rPr>
        <w:t xml:space="preserve">乙  方： </w:t>
      </w:r>
      <w:r>
        <w:rPr>
          <w:rFonts w:hint="eastAsia" w:ascii="仿宋" w:hAnsi="仿宋" w:eastAsia="仿宋" w:cs="Times New Roman"/>
          <w:b/>
          <w:bCs/>
          <w:color w:val="auto"/>
          <w:kern w:val="0"/>
          <w:sz w:val="24"/>
          <w:szCs w:val="24"/>
          <w:lang w:eastAsia="zh-CN"/>
        </w:rPr>
        <w:t>（</w:t>
      </w:r>
      <w:r>
        <w:rPr>
          <w:rFonts w:hint="eastAsia" w:ascii="仿宋" w:hAnsi="仿宋" w:eastAsia="仿宋" w:cs="Times New Roman"/>
          <w:b/>
          <w:bCs/>
          <w:color w:val="auto"/>
          <w:kern w:val="0"/>
          <w:sz w:val="24"/>
          <w:szCs w:val="24"/>
        </w:rPr>
        <w:t>根据实际情况填写</w:t>
      </w:r>
      <w:r>
        <w:rPr>
          <w:rFonts w:hint="eastAsia" w:ascii="仿宋" w:hAnsi="仿宋" w:eastAsia="仿宋" w:cs="Times New Roman"/>
          <w:b/>
          <w:bCs/>
          <w:color w:val="auto"/>
          <w:kern w:val="0"/>
          <w:sz w:val="24"/>
          <w:szCs w:val="24"/>
          <w:lang w:eastAsia="zh-CN"/>
        </w:rPr>
        <w:t>）</w:t>
      </w:r>
    </w:p>
    <w:p w14:paraId="73DEC957">
      <w:pPr>
        <w:spacing w:line="560" w:lineRule="exact"/>
        <w:rPr>
          <w:rFonts w:hint="eastAsia" w:ascii="仿宋" w:hAnsi="仿宋" w:eastAsia="仿宋" w:cs="Times New Roman"/>
          <w:color w:val="auto"/>
          <w:kern w:val="0"/>
          <w:sz w:val="24"/>
          <w:szCs w:val="24"/>
        </w:rPr>
      </w:pPr>
      <w:r>
        <w:rPr>
          <w:rFonts w:ascii="仿宋" w:hAnsi="仿宋" w:eastAsia="仿宋" w:cs="Times New Roman"/>
          <w:color w:val="auto"/>
          <w:kern w:val="0"/>
          <w:sz w:val="24"/>
          <w:szCs w:val="24"/>
        </w:rPr>
        <w:t xml:space="preserve"> </w:t>
      </w:r>
    </w:p>
    <w:p w14:paraId="03032B8E">
      <w:pPr>
        <w:spacing w:line="560" w:lineRule="exact"/>
        <w:jc w:val="center"/>
        <w:rPr>
          <w:rFonts w:hint="eastAsia" w:ascii="仿宋" w:hAnsi="仿宋" w:eastAsia="仿宋" w:cs="Times New Roman"/>
          <w:b/>
          <w:bCs/>
          <w:color w:val="auto"/>
          <w:kern w:val="0"/>
          <w:sz w:val="32"/>
          <w:szCs w:val="32"/>
          <w:lang w:val="en-US" w:eastAsia="zh-CN"/>
        </w:rPr>
      </w:pPr>
      <w:r>
        <w:rPr>
          <w:rFonts w:hint="eastAsia" w:ascii="仿宋" w:hAnsi="仿宋" w:eastAsia="仿宋" w:cs="Times New Roman"/>
          <w:color w:val="auto"/>
          <w:kern w:val="0"/>
          <w:sz w:val="24"/>
          <w:szCs w:val="24"/>
        </w:rPr>
        <w:t xml:space="preserve">年 </w:t>
      </w:r>
      <w:r>
        <w:rPr>
          <w:rFonts w:ascii="仿宋" w:hAnsi="仿宋" w:eastAsia="仿宋" w:cs="Times New Roman"/>
          <w:color w:val="auto"/>
          <w:kern w:val="0"/>
          <w:sz w:val="24"/>
          <w:szCs w:val="24"/>
        </w:rPr>
        <w:t xml:space="preserve">  </w:t>
      </w:r>
      <w:r>
        <w:rPr>
          <w:rFonts w:hint="eastAsia" w:ascii="仿宋" w:hAnsi="仿宋" w:eastAsia="仿宋" w:cs="Times New Roman"/>
          <w:color w:val="auto"/>
          <w:kern w:val="0"/>
          <w:sz w:val="24"/>
          <w:szCs w:val="24"/>
        </w:rPr>
        <w:t>月</w:t>
      </w:r>
      <w:r>
        <w:rPr>
          <w:rFonts w:hint="eastAsia" w:ascii="仿宋" w:hAnsi="仿宋" w:eastAsia="仿宋" w:cs="Times New Roman"/>
          <w:color w:val="auto"/>
          <w:kern w:val="0"/>
          <w:sz w:val="24"/>
          <w:szCs w:val="24"/>
          <w:lang w:val="en-US" w:eastAsia="zh-CN"/>
        </w:rPr>
        <w:t xml:space="preserve">   日</w:t>
      </w:r>
    </w:p>
    <w:p w14:paraId="29C3C7D7">
      <w:pPr>
        <w:spacing w:line="560" w:lineRule="exact"/>
        <w:jc w:val="center"/>
        <w:rPr>
          <w:rFonts w:hint="eastAsia" w:ascii="仿宋" w:hAnsi="仿宋" w:eastAsia="仿宋" w:cs="Times New Roman"/>
          <w:b/>
          <w:bCs/>
          <w:color w:val="auto"/>
          <w:kern w:val="0"/>
          <w:sz w:val="32"/>
          <w:szCs w:val="32"/>
        </w:rPr>
      </w:pPr>
      <w:r>
        <w:rPr>
          <w:rFonts w:ascii="仿宋" w:hAnsi="仿宋" w:eastAsia="仿宋" w:cs="Times New Roman"/>
          <w:b/>
          <w:bCs/>
          <w:color w:val="auto"/>
          <w:kern w:val="0"/>
          <w:sz w:val="32"/>
          <w:szCs w:val="32"/>
        </w:rPr>
        <w:br w:type="page"/>
      </w:r>
      <w:r>
        <w:rPr>
          <w:rFonts w:hint="eastAsia" w:ascii="仿宋" w:hAnsi="仿宋" w:eastAsia="仿宋" w:cs="Times New Roman"/>
          <w:b/>
          <w:bCs/>
          <w:color w:val="auto"/>
          <w:kern w:val="0"/>
          <w:sz w:val="32"/>
          <w:szCs w:val="32"/>
        </w:rPr>
        <w:t>供 货 合 同</w:t>
      </w:r>
    </w:p>
    <w:p w14:paraId="77C19BFB">
      <w:pPr>
        <w:spacing w:line="560" w:lineRule="exact"/>
        <w:ind w:firstLine="480" w:firstLineChars="200"/>
        <w:jc w:val="left"/>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 xml:space="preserve"> </w:t>
      </w:r>
    </w:p>
    <w:p w14:paraId="4F12FDCE">
      <w:pPr>
        <w:spacing w:line="360" w:lineRule="auto"/>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u w:val="single"/>
          <w:lang w:val="en-US" w:eastAsia="zh-CN"/>
        </w:rPr>
        <w:t xml:space="preserve">                  （项目名称）</w:t>
      </w:r>
      <w:r>
        <w:rPr>
          <w:rFonts w:hint="eastAsia" w:ascii="仿宋" w:hAnsi="仿宋" w:eastAsia="仿宋" w:cs="仿宋"/>
          <w:color w:val="auto"/>
          <w:kern w:val="0"/>
          <w:sz w:val="24"/>
          <w:szCs w:val="24"/>
        </w:rPr>
        <w:t>，在财政部</w:t>
      </w:r>
      <w:r>
        <w:rPr>
          <w:rFonts w:hint="eastAsia" w:ascii="仿宋" w:hAnsi="仿宋" w:eastAsia="仿宋" w:cs="仿宋"/>
          <w:color w:val="auto"/>
          <w:kern w:val="0"/>
          <w:sz w:val="24"/>
          <w:szCs w:val="24"/>
          <w:lang w:eastAsia="zh-CN"/>
        </w:rPr>
        <w:t>门</w:t>
      </w:r>
      <w:r>
        <w:rPr>
          <w:rFonts w:hint="eastAsia" w:ascii="仿宋" w:hAnsi="仿宋" w:eastAsia="仿宋" w:cs="仿宋"/>
          <w:color w:val="auto"/>
          <w:kern w:val="0"/>
          <w:sz w:val="24"/>
          <w:szCs w:val="24"/>
        </w:rPr>
        <w:t>监督下，由</w:t>
      </w:r>
      <w:r>
        <w:rPr>
          <w:rFonts w:hint="eastAsia" w:ascii="仿宋" w:hAnsi="仿宋" w:eastAsia="仿宋" w:cs="仿宋"/>
          <w:color w:val="auto"/>
          <w:kern w:val="0"/>
          <w:sz w:val="24"/>
          <w:szCs w:val="24"/>
          <w:lang w:val="en-US" w:eastAsia="zh-CN"/>
        </w:rPr>
        <w:t>代理公司</w:t>
      </w:r>
      <w:r>
        <w:rPr>
          <w:rFonts w:hint="eastAsia" w:ascii="仿宋" w:hAnsi="仿宋" w:eastAsia="仿宋" w:cs="仿宋"/>
          <w:color w:val="auto"/>
          <w:kern w:val="0"/>
          <w:sz w:val="24"/>
          <w:szCs w:val="24"/>
        </w:rPr>
        <w:t>组织</w:t>
      </w:r>
      <w:r>
        <w:rPr>
          <w:rFonts w:hint="eastAsia" w:ascii="仿宋" w:hAnsi="仿宋" w:eastAsia="仿宋" w:cs="仿宋"/>
          <w:color w:val="auto"/>
          <w:kern w:val="0"/>
          <w:sz w:val="24"/>
          <w:szCs w:val="24"/>
          <w:lang w:val="en-US" w:eastAsia="zh-CN"/>
        </w:rPr>
        <w:t>竞争性磋商会议</w:t>
      </w:r>
      <w:r>
        <w:rPr>
          <w:rFonts w:hint="eastAsia" w:ascii="仿宋" w:hAnsi="仿宋" w:eastAsia="仿宋" w:cs="仿宋"/>
          <w:color w:val="auto"/>
          <w:kern w:val="0"/>
          <w:sz w:val="24"/>
          <w:szCs w:val="24"/>
          <w:highlight w:val="none"/>
        </w:rPr>
        <w:t>，选定</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为本项目的</w:t>
      </w:r>
      <w:r>
        <w:rPr>
          <w:rFonts w:hint="eastAsia" w:ascii="仿宋" w:hAnsi="仿宋" w:eastAsia="仿宋" w:cs="仿宋"/>
          <w:color w:val="auto"/>
          <w:kern w:val="0"/>
          <w:sz w:val="24"/>
          <w:szCs w:val="24"/>
          <w:highlight w:val="none"/>
          <w:lang w:val="en-US" w:eastAsia="zh-CN"/>
        </w:rPr>
        <w:t>成交</w:t>
      </w:r>
      <w:r>
        <w:rPr>
          <w:rFonts w:hint="eastAsia" w:ascii="仿宋" w:hAnsi="仿宋" w:eastAsia="仿宋" w:cs="仿宋"/>
          <w:color w:val="auto"/>
          <w:kern w:val="0"/>
          <w:sz w:val="24"/>
          <w:szCs w:val="24"/>
          <w:highlight w:val="none"/>
        </w:rPr>
        <w:t>单位。</w:t>
      </w:r>
      <w:r>
        <w:rPr>
          <w:rFonts w:hint="eastAsia" w:ascii="仿宋" w:hAnsi="仿宋" w:eastAsia="仿宋" w:cs="仿宋"/>
          <w:color w:val="auto"/>
          <w:kern w:val="2"/>
          <w:sz w:val="24"/>
          <w:szCs w:val="24"/>
        </w:rPr>
        <w:t>依据《中华人民共和国民法典》、《中华人民共和国政府采购法》以及</w:t>
      </w:r>
      <w:r>
        <w:rPr>
          <w:rFonts w:hint="eastAsia" w:ascii="仿宋" w:hAnsi="仿宋" w:eastAsia="仿宋" w:cs="仿宋"/>
          <w:color w:val="auto"/>
          <w:kern w:val="2"/>
          <w:sz w:val="24"/>
          <w:szCs w:val="24"/>
          <w:lang w:eastAsia="zh-CN"/>
        </w:rPr>
        <w:t>磋商文件</w:t>
      </w:r>
      <w:r>
        <w:rPr>
          <w:rFonts w:hint="eastAsia" w:ascii="仿宋" w:hAnsi="仿宋" w:eastAsia="仿宋" w:cs="仿宋"/>
          <w:color w:val="auto"/>
          <w:kern w:val="2"/>
          <w:sz w:val="24"/>
          <w:szCs w:val="24"/>
        </w:rPr>
        <w:t>、</w:t>
      </w:r>
      <w:r>
        <w:rPr>
          <w:rFonts w:hint="eastAsia" w:ascii="仿宋" w:hAnsi="仿宋" w:eastAsia="仿宋" w:cs="仿宋"/>
          <w:color w:val="auto"/>
          <w:kern w:val="2"/>
          <w:sz w:val="24"/>
          <w:szCs w:val="24"/>
          <w:lang w:val="en-US" w:eastAsia="zh-CN"/>
        </w:rPr>
        <w:t>成交</w:t>
      </w:r>
      <w:r>
        <w:rPr>
          <w:rFonts w:hint="eastAsia" w:ascii="仿宋" w:hAnsi="仿宋" w:eastAsia="仿宋" w:cs="仿宋"/>
          <w:color w:val="auto"/>
          <w:kern w:val="2"/>
          <w:sz w:val="24"/>
          <w:szCs w:val="24"/>
        </w:rPr>
        <w:t>供应商</w:t>
      </w:r>
      <w:r>
        <w:rPr>
          <w:rFonts w:hint="eastAsia" w:ascii="仿宋" w:hAnsi="仿宋" w:eastAsia="仿宋" w:cs="仿宋"/>
          <w:color w:val="auto"/>
          <w:kern w:val="2"/>
          <w:sz w:val="24"/>
          <w:szCs w:val="24"/>
          <w:lang w:eastAsia="zh-CN"/>
        </w:rPr>
        <w:t>响应文件</w:t>
      </w:r>
      <w:r>
        <w:rPr>
          <w:rFonts w:hint="eastAsia" w:ascii="仿宋" w:hAnsi="仿宋" w:eastAsia="仿宋" w:cs="仿宋"/>
          <w:color w:val="auto"/>
          <w:kern w:val="2"/>
          <w:sz w:val="24"/>
          <w:szCs w:val="24"/>
        </w:rPr>
        <w:t>、</w:t>
      </w:r>
      <w:r>
        <w:rPr>
          <w:rFonts w:hint="eastAsia" w:ascii="仿宋" w:hAnsi="仿宋" w:eastAsia="仿宋" w:cs="仿宋"/>
          <w:color w:val="auto"/>
          <w:kern w:val="2"/>
          <w:sz w:val="24"/>
          <w:szCs w:val="24"/>
          <w:lang w:val="en-US" w:eastAsia="zh-CN"/>
        </w:rPr>
        <w:t>成交</w:t>
      </w:r>
      <w:r>
        <w:rPr>
          <w:rFonts w:hint="eastAsia" w:ascii="仿宋" w:hAnsi="仿宋" w:eastAsia="仿宋" w:cs="仿宋"/>
          <w:color w:val="auto"/>
          <w:kern w:val="2"/>
          <w:sz w:val="24"/>
          <w:szCs w:val="24"/>
        </w:rPr>
        <w:t>通知书，经甲、乙双方协商，达成如下条款。</w:t>
      </w:r>
    </w:p>
    <w:p w14:paraId="5E3D3991">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rPr>
        <w:t>一、合同内容</w:t>
      </w:r>
    </w:p>
    <w:p w14:paraId="51C778AE">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l</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乙方负责按合同中确定的产品品牌、规格、型号、数量、原产地及配套内容进行供货；按时运到甲方指定的交货地点，负责产品到货后安装调试工作，达到正常使用；负责为甲方培训操作、维护人员，指导操作使用维修保养，做好售后服务工作；</w:t>
      </w:r>
    </w:p>
    <w:p w14:paraId="13FF80E1">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2</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lang w:eastAsia="zh-CN"/>
        </w:rPr>
        <w:t>磋商文件</w:t>
      </w:r>
      <w:r>
        <w:rPr>
          <w:rFonts w:hint="eastAsia" w:ascii="仿宋" w:hAnsi="仿宋" w:eastAsia="仿宋" w:cs="Times New Roman"/>
          <w:color w:val="auto"/>
          <w:kern w:val="0"/>
          <w:sz w:val="24"/>
          <w:szCs w:val="24"/>
        </w:rPr>
        <w:t>、乙方的</w:t>
      </w:r>
      <w:r>
        <w:rPr>
          <w:rFonts w:hint="eastAsia" w:ascii="仿宋" w:hAnsi="仿宋" w:eastAsia="仿宋" w:cs="Times New Roman"/>
          <w:color w:val="auto"/>
          <w:kern w:val="0"/>
          <w:sz w:val="24"/>
          <w:szCs w:val="24"/>
          <w:lang w:eastAsia="zh-CN"/>
        </w:rPr>
        <w:t>响应文件</w:t>
      </w:r>
      <w:r>
        <w:rPr>
          <w:rFonts w:hint="eastAsia" w:ascii="仿宋" w:hAnsi="仿宋" w:eastAsia="仿宋" w:cs="Times New Roman"/>
          <w:color w:val="auto"/>
          <w:kern w:val="0"/>
          <w:sz w:val="24"/>
          <w:szCs w:val="24"/>
        </w:rPr>
        <w:t>及评标过程中的澄清、承诺内容均作为本合同的组成部分，具有同等法律效力。</w:t>
      </w:r>
    </w:p>
    <w:p w14:paraId="6E86F286">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rPr>
        <w:t>二、合同价款及质保期</w:t>
      </w:r>
    </w:p>
    <w:p w14:paraId="1EBC6F4C">
      <w:pPr>
        <w:spacing w:line="560" w:lineRule="exact"/>
        <w:ind w:firstLine="480" w:firstLineChars="200"/>
        <w:rPr>
          <w:rFonts w:ascii="仿宋" w:hAnsi="仿宋" w:eastAsia="仿宋" w:cs="Times New Roman"/>
          <w:color w:val="auto"/>
          <w:kern w:val="0"/>
          <w:sz w:val="24"/>
          <w:szCs w:val="24"/>
        </w:rPr>
      </w:pPr>
      <w:r>
        <w:rPr>
          <w:rFonts w:hint="eastAsia" w:ascii="仿宋" w:hAnsi="仿宋" w:eastAsia="仿宋" w:cs="Times New Roman"/>
          <w:color w:val="auto"/>
          <w:kern w:val="0"/>
          <w:sz w:val="24"/>
          <w:szCs w:val="24"/>
        </w:rPr>
        <w:t>1</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中标产品品牌、规格、产地、数量、单价及合同总价：     单位：元</w:t>
      </w:r>
    </w:p>
    <w:tbl>
      <w:tblPr>
        <w:tblStyle w:val="4"/>
        <w:tblW w:w="917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552"/>
        <w:gridCol w:w="1559"/>
        <w:gridCol w:w="1559"/>
        <w:gridCol w:w="851"/>
        <w:gridCol w:w="992"/>
        <w:gridCol w:w="965"/>
      </w:tblGrid>
      <w:tr w14:paraId="4FD5A4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694" w:type="dxa"/>
            <w:tcBorders>
              <w:tl2br w:val="nil"/>
              <w:tr2bl w:val="nil"/>
            </w:tcBorders>
            <w:noWrap w:val="0"/>
            <w:vAlign w:val="center"/>
          </w:tcPr>
          <w:p w14:paraId="2F4C5206">
            <w:pPr>
              <w:spacing w:line="360" w:lineRule="auto"/>
              <w:jc w:val="center"/>
              <w:rPr>
                <w:rFonts w:hint="eastAsia" w:ascii="仿宋" w:hAnsi="仿宋" w:eastAsia="仿宋" w:cs="仿宋"/>
                <w:color w:val="auto"/>
                <w:kern w:val="2"/>
                <w:sz w:val="21"/>
                <w:szCs w:val="21"/>
              </w:rPr>
            </w:pPr>
            <w:r>
              <w:rPr>
                <w:rFonts w:hint="eastAsia" w:ascii="仿宋" w:hAnsi="仿宋" w:eastAsia="仿宋" w:cs="仿宋"/>
                <w:color w:val="auto"/>
                <w:kern w:val="2"/>
                <w:sz w:val="21"/>
                <w:szCs w:val="21"/>
              </w:rPr>
              <w:t>序号</w:t>
            </w:r>
          </w:p>
        </w:tc>
        <w:tc>
          <w:tcPr>
            <w:tcW w:w="2552" w:type="dxa"/>
            <w:tcBorders>
              <w:tl2br w:val="nil"/>
              <w:tr2bl w:val="nil"/>
            </w:tcBorders>
            <w:noWrap w:val="0"/>
            <w:vAlign w:val="center"/>
          </w:tcPr>
          <w:p w14:paraId="0BEF653A">
            <w:pPr>
              <w:spacing w:line="360" w:lineRule="auto"/>
              <w:jc w:val="center"/>
              <w:rPr>
                <w:rFonts w:hint="eastAsia" w:ascii="仿宋" w:hAnsi="仿宋" w:eastAsia="仿宋" w:cs="仿宋"/>
                <w:color w:val="auto"/>
                <w:kern w:val="2"/>
                <w:sz w:val="21"/>
                <w:szCs w:val="21"/>
              </w:rPr>
            </w:pPr>
            <w:r>
              <w:rPr>
                <w:rFonts w:hint="eastAsia" w:ascii="仿宋" w:hAnsi="仿宋" w:eastAsia="仿宋" w:cs="仿宋"/>
                <w:color w:val="auto"/>
                <w:kern w:val="2"/>
                <w:sz w:val="21"/>
                <w:szCs w:val="21"/>
              </w:rPr>
              <w:t>货物名称</w:t>
            </w:r>
          </w:p>
        </w:tc>
        <w:tc>
          <w:tcPr>
            <w:tcW w:w="1559" w:type="dxa"/>
            <w:tcBorders>
              <w:tl2br w:val="nil"/>
              <w:tr2bl w:val="nil"/>
            </w:tcBorders>
            <w:noWrap w:val="0"/>
            <w:vAlign w:val="center"/>
          </w:tcPr>
          <w:p w14:paraId="0A1D6393">
            <w:pPr>
              <w:spacing w:line="360" w:lineRule="auto"/>
              <w:jc w:val="center"/>
              <w:rPr>
                <w:rFonts w:hint="eastAsia" w:ascii="仿宋" w:hAnsi="仿宋" w:eastAsia="仿宋" w:cs="仿宋"/>
                <w:color w:val="auto"/>
                <w:kern w:val="2"/>
                <w:sz w:val="21"/>
                <w:szCs w:val="21"/>
              </w:rPr>
            </w:pPr>
            <w:r>
              <w:rPr>
                <w:rFonts w:hint="eastAsia" w:ascii="仿宋" w:hAnsi="仿宋" w:eastAsia="仿宋" w:cs="仿宋"/>
                <w:color w:val="auto"/>
                <w:kern w:val="2"/>
                <w:sz w:val="21"/>
                <w:szCs w:val="21"/>
              </w:rPr>
              <w:t>原产地及厂商名称（品牌）</w:t>
            </w:r>
          </w:p>
        </w:tc>
        <w:tc>
          <w:tcPr>
            <w:tcW w:w="1559" w:type="dxa"/>
            <w:tcBorders>
              <w:tl2br w:val="nil"/>
              <w:tr2bl w:val="nil"/>
            </w:tcBorders>
            <w:noWrap w:val="0"/>
            <w:vAlign w:val="center"/>
          </w:tcPr>
          <w:p w14:paraId="3C1F8AC2">
            <w:pPr>
              <w:spacing w:line="360" w:lineRule="auto"/>
              <w:jc w:val="center"/>
              <w:rPr>
                <w:rFonts w:hint="eastAsia" w:ascii="仿宋" w:hAnsi="仿宋" w:eastAsia="仿宋" w:cs="仿宋"/>
                <w:color w:val="auto"/>
                <w:kern w:val="2"/>
                <w:sz w:val="21"/>
                <w:szCs w:val="21"/>
              </w:rPr>
            </w:pPr>
            <w:r>
              <w:rPr>
                <w:rFonts w:hint="eastAsia" w:ascii="仿宋" w:hAnsi="仿宋" w:eastAsia="仿宋" w:cs="仿宋"/>
                <w:color w:val="auto"/>
                <w:kern w:val="2"/>
                <w:sz w:val="21"/>
                <w:szCs w:val="21"/>
              </w:rPr>
              <w:t>规格型号</w:t>
            </w:r>
          </w:p>
        </w:tc>
        <w:tc>
          <w:tcPr>
            <w:tcW w:w="851" w:type="dxa"/>
            <w:tcBorders>
              <w:tl2br w:val="nil"/>
              <w:tr2bl w:val="nil"/>
            </w:tcBorders>
            <w:noWrap w:val="0"/>
            <w:vAlign w:val="center"/>
          </w:tcPr>
          <w:p w14:paraId="1EDA179F">
            <w:pPr>
              <w:spacing w:line="360" w:lineRule="auto"/>
              <w:jc w:val="center"/>
              <w:rPr>
                <w:rFonts w:hint="eastAsia" w:ascii="仿宋" w:hAnsi="仿宋" w:eastAsia="仿宋" w:cs="仿宋"/>
                <w:color w:val="auto"/>
                <w:kern w:val="2"/>
                <w:sz w:val="21"/>
                <w:szCs w:val="21"/>
                <w:lang w:eastAsia="zh-CN"/>
              </w:rPr>
            </w:pPr>
            <w:r>
              <w:rPr>
                <w:rFonts w:hint="eastAsia" w:ascii="仿宋" w:hAnsi="仿宋" w:eastAsia="仿宋" w:cs="仿宋"/>
                <w:color w:val="auto"/>
                <w:kern w:val="2"/>
                <w:sz w:val="21"/>
                <w:szCs w:val="21"/>
                <w:lang w:eastAsia="zh-CN"/>
              </w:rPr>
              <w:t>数量</w:t>
            </w:r>
          </w:p>
        </w:tc>
        <w:tc>
          <w:tcPr>
            <w:tcW w:w="992" w:type="dxa"/>
            <w:tcBorders>
              <w:tl2br w:val="nil"/>
              <w:tr2bl w:val="nil"/>
            </w:tcBorders>
            <w:noWrap w:val="0"/>
            <w:vAlign w:val="center"/>
          </w:tcPr>
          <w:p w14:paraId="4C8BBC68">
            <w:pPr>
              <w:spacing w:line="360" w:lineRule="auto"/>
              <w:jc w:val="center"/>
              <w:rPr>
                <w:rFonts w:hint="eastAsia" w:ascii="仿宋" w:hAnsi="仿宋" w:eastAsia="仿宋" w:cs="仿宋"/>
                <w:color w:val="auto"/>
                <w:kern w:val="2"/>
                <w:sz w:val="21"/>
                <w:szCs w:val="21"/>
              </w:rPr>
            </w:pPr>
            <w:r>
              <w:rPr>
                <w:rFonts w:hint="eastAsia" w:ascii="仿宋" w:hAnsi="仿宋" w:eastAsia="仿宋" w:cs="仿宋"/>
                <w:color w:val="auto"/>
                <w:kern w:val="2"/>
                <w:sz w:val="21"/>
                <w:szCs w:val="21"/>
              </w:rPr>
              <w:t>单价</w:t>
            </w:r>
          </w:p>
        </w:tc>
        <w:tc>
          <w:tcPr>
            <w:tcW w:w="965" w:type="dxa"/>
            <w:tcBorders>
              <w:tl2br w:val="nil"/>
              <w:tr2bl w:val="nil"/>
            </w:tcBorders>
            <w:noWrap w:val="0"/>
            <w:vAlign w:val="center"/>
          </w:tcPr>
          <w:p w14:paraId="7B3DEF5A">
            <w:pPr>
              <w:spacing w:line="360" w:lineRule="auto"/>
              <w:jc w:val="center"/>
              <w:rPr>
                <w:rFonts w:hint="eastAsia" w:ascii="仿宋" w:hAnsi="仿宋" w:eastAsia="仿宋" w:cs="仿宋"/>
                <w:color w:val="auto"/>
                <w:kern w:val="2"/>
                <w:sz w:val="21"/>
                <w:szCs w:val="21"/>
                <w:lang w:eastAsia="zh-CN"/>
              </w:rPr>
            </w:pPr>
            <w:r>
              <w:rPr>
                <w:rFonts w:hint="eastAsia" w:ascii="仿宋" w:hAnsi="仿宋" w:eastAsia="仿宋" w:cs="仿宋"/>
                <w:color w:val="auto"/>
                <w:kern w:val="2"/>
                <w:sz w:val="21"/>
                <w:szCs w:val="21"/>
                <w:lang w:eastAsia="zh-CN"/>
              </w:rPr>
              <w:t>质保期</w:t>
            </w:r>
          </w:p>
        </w:tc>
      </w:tr>
      <w:tr w14:paraId="046F65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694" w:type="dxa"/>
            <w:tcBorders>
              <w:tl2br w:val="nil"/>
              <w:tr2bl w:val="nil"/>
            </w:tcBorders>
            <w:noWrap w:val="0"/>
            <w:vAlign w:val="center"/>
          </w:tcPr>
          <w:p w14:paraId="00EC5377">
            <w:pPr>
              <w:snapToGrid w:val="0"/>
              <w:spacing w:line="360" w:lineRule="auto"/>
              <w:jc w:val="center"/>
              <w:rPr>
                <w:rFonts w:hint="eastAsia" w:ascii="仿宋" w:hAnsi="仿宋" w:eastAsia="仿宋" w:cs="仿宋"/>
                <w:color w:val="auto"/>
                <w:kern w:val="2"/>
                <w:sz w:val="21"/>
                <w:szCs w:val="21"/>
              </w:rPr>
            </w:pPr>
            <w:r>
              <w:rPr>
                <w:rFonts w:hint="eastAsia" w:ascii="仿宋" w:hAnsi="仿宋" w:eastAsia="仿宋" w:cs="仿宋"/>
                <w:color w:val="auto"/>
                <w:kern w:val="2"/>
                <w:sz w:val="21"/>
                <w:szCs w:val="21"/>
              </w:rPr>
              <w:t>1</w:t>
            </w:r>
          </w:p>
        </w:tc>
        <w:tc>
          <w:tcPr>
            <w:tcW w:w="2552" w:type="dxa"/>
            <w:tcBorders>
              <w:tl2br w:val="nil"/>
              <w:tr2bl w:val="nil"/>
            </w:tcBorders>
            <w:noWrap w:val="0"/>
            <w:vAlign w:val="center"/>
          </w:tcPr>
          <w:p w14:paraId="6AC7A2E2">
            <w:pPr>
              <w:spacing w:line="360" w:lineRule="auto"/>
              <w:rPr>
                <w:rFonts w:hint="eastAsia" w:ascii="仿宋" w:hAnsi="仿宋" w:eastAsia="仿宋" w:cs="仿宋"/>
                <w:color w:val="auto"/>
                <w:kern w:val="2"/>
                <w:sz w:val="21"/>
                <w:szCs w:val="21"/>
              </w:rPr>
            </w:pPr>
          </w:p>
        </w:tc>
        <w:tc>
          <w:tcPr>
            <w:tcW w:w="1559" w:type="dxa"/>
            <w:tcBorders>
              <w:tl2br w:val="nil"/>
              <w:tr2bl w:val="nil"/>
            </w:tcBorders>
            <w:noWrap w:val="0"/>
            <w:vAlign w:val="center"/>
          </w:tcPr>
          <w:p w14:paraId="5F4DF9A5">
            <w:pPr>
              <w:spacing w:line="360" w:lineRule="auto"/>
              <w:jc w:val="center"/>
              <w:rPr>
                <w:rFonts w:hint="eastAsia" w:ascii="仿宋" w:hAnsi="仿宋" w:eastAsia="仿宋" w:cs="仿宋"/>
                <w:color w:val="auto"/>
                <w:kern w:val="2"/>
                <w:sz w:val="21"/>
                <w:szCs w:val="21"/>
              </w:rPr>
            </w:pPr>
          </w:p>
        </w:tc>
        <w:tc>
          <w:tcPr>
            <w:tcW w:w="1559" w:type="dxa"/>
            <w:tcBorders>
              <w:tl2br w:val="nil"/>
              <w:tr2bl w:val="nil"/>
            </w:tcBorders>
            <w:noWrap w:val="0"/>
            <w:vAlign w:val="center"/>
          </w:tcPr>
          <w:p w14:paraId="7349F0B7">
            <w:pPr>
              <w:spacing w:line="360" w:lineRule="auto"/>
              <w:jc w:val="center"/>
              <w:rPr>
                <w:rFonts w:hint="eastAsia" w:ascii="仿宋" w:hAnsi="仿宋" w:eastAsia="仿宋" w:cs="仿宋"/>
                <w:color w:val="auto"/>
                <w:kern w:val="2"/>
                <w:sz w:val="21"/>
                <w:szCs w:val="21"/>
              </w:rPr>
            </w:pPr>
          </w:p>
        </w:tc>
        <w:tc>
          <w:tcPr>
            <w:tcW w:w="851" w:type="dxa"/>
            <w:tcBorders>
              <w:tl2br w:val="nil"/>
              <w:tr2bl w:val="nil"/>
            </w:tcBorders>
            <w:noWrap w:val="0"/>
            <w:vAlign w:val="center"/>
          </w:tcPr>
          <w:p w14:paraId="36117D8E">
            <w:pPr>
              <w:spacing w:line="360" w:lineRule="auto"/>
              <w:jc w:val="center"/>
              <w:rPr>
                <w:rFonts w:hint="eastAsia" w:ascii="仿宋" w:hAnsi="仿宋" w:eastAsia="仿宋" w:cs="仿宋"/>
                <w:color w:val="auto"/>
                <w:kern w:val="2"/>
                <w:sz w:val="21"/>
                <w:szCs w:val="21"/>
              </w:rPr>
            </w:pPr>
          </w:p>
        </w:tc>
        <w:tc>
          <w:tcPr>
            <w:tcW w:w="992" w:type="dxa"/>
            <w:tcBorders>
              <w:tl2br w:val="nil"/>
              <w:tr2bl w:val="nil"/>
            </w:tcBorders>
            <w:noWrap w:val="0"/>
            <w:vAlign w:val="center"/>
          </w:tcPr>
          <w:p w14:paraId="5674B5C8">
            <w:pPr>
              <w:spacing w:line="360" w:lineRule="auto"/>
              <w:jc w:val="center"/>
              <w:rPr>
                <w:rFonts w:hint="eastAsia" w:ascii="仿宋" w:hAnsi="仿宋" w:eastAsia="仿宋" w:cs="仿宋"/>
                <w:color w:val="auto"/>
                <w:kern w:val="2"/>
                <w:sz w:val="21"/>
                <w:szCs w:val="21"/>
              </w:rPr>
            </w:pPr>
          </w:p>
        </w:tc>
        <w:tc>
          <w:tcPr>
            <w:tcW w:w="965" w:type="dxa"/>
            <w:tcBorders>
              <w:tl2br w:val="nil"/>
              <w:tr2bl w:val="nil"/>
            </w:tcBorders>
            <w:noWrap w:val="0"/>
            <w:vAlign w:val="center"/>
          </w:tcPr>
          <w:p w14:paraId="657359E9">
            <w:pPr>
              <w:spacing w:line="360" w:lineRule="auto"/>
              <w:jc w:val="center"/>
              <w:rPr>
                <w:rFonts w:hint="eastAsia" w:ascii="仿宋" w:hAnsi="仿宋" w:eastAsia="仿宋" w:cs="仿宋"/>
                <w:color w:val="auto"/>
                <w:kern w:val="2"/>
                <w:sz w:val="21"/>
                <w:szCs w:val="21"/>
              </w:rPr>
            </w:pPr>
          </w:p>
        </w:tc>
      </w:tr>
      <w:tr w14:paraId="23C7F4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noWrap w:val="0"/>
            <w:vAlign w:val="center"/>
          </w:tcPr>
          <w:p w14:paraId="15041493">
            <w:pPr>
              <w:snapToGrid w:val="0"/>
              <w:spacing w:line="360" w:lineRule="auto"/>
              <w:jc w:val="center"/>
              <w:rPr>
                <w:rFonts w:hint="eastAsia" w:ascii="仿宋" w:hAnsi="仿宋" w:eastAsia="仿宋" w:cs="仿宋"/>
                <w:color w:val="auto"/>
                <w:kern w:val="2"/>
                <w:sz w:val="21"/>
                <w:szCs w:val="21"/>
              </w:rPr>
            </w:pPr>
            <w:r>
              <w:rPr>
                <w:rFonts w:hint="eastAsia" w:ascii="仿宋" w:hAnsi="仿宋" w:eastAsia="仿宋" w:cs="仿宋"/>
                <w:color w:val="auto"/>
                <w:kern w:val="2"/>
                <w:sz w:val="21"/>
                <w:szCs w:val="21"/>
              </w:rPr>
              <w:t>2</w:t>
            </w:r>
          </w:p>
        </w:tc>
        <w:tc>
          <w:tcPr>
            <w:tcW w:w="2552" w:type="dxa"/>
            <w:tcBorders>
              <w:tl2br w:val="nil"/>
              <w:tr2bl w:val="nil"/>
            </w:tcBorders>
            <w:noWrap w:val="0"/>
            <w:vAlign w:val="center"/>
          </w:tcPr>
          <w:p w14:paraId="478332B1">
            <w:pPr>
              <w:spacing w:line="360" w:lineRule="auto"/>
              <w:jc w:val="center"/>
              <w:rPr>
                <w:rFonts w:hint="eastAsia" w:ascii="仿宋" w:hAnsi="仿宋" w:eastAsia="仿宋" w:cs="仿宋"/>
                <w:color w:val="auto"/>
                <w:kern w:val="2"/>
                <w:sz w:val="21"/>
                <w:szCs w:val="21"/>
              </w:rPr>
            </w:pPr>
          </w:p>
        </w:tc>
        <w:tc>
          <w:tcPr>
            <w:tcW w:w="1559" w:type="dxa"/>
            <w:tcBorders>
              <w:tl2br w:val="nil"/>
              <w:tr2bl w:val="nil"/>
            </w:tcBorders>
            <w:noWrap w:val="0"/>
            <w:vAlign w:val="center"/>
          </w:tcPr>
          <w:p w14:paraId="5E2D755F">
            <w:pPr>
              <w:spacing w:line="360" w:lineRule="auto"/>
              <w:jc w:val="center"/>
              <w:rPr>
                <w:rFonts w:hint="eastAsia" w:ascii="仿宋" w:hAnsi="仿宋" w:eastAsia="仿宋" w:cs="仿宋"/>
                <w:color w:val="auto"/>
                <w:kern w:val="2"/>
                <w:sz w:val="21"/>
                <w:szCs w:val="21"/>
              </w:rPr>
            </w:pPr>
          </w:p>
        </w:tc>
        <w:tc>
          <w:tcPr>
            <w:tcW w:w="1559" w:type="dxa"/>
            <w:tcBorders>
              <w:tl2br w:val="nil"/>
              <w:tr2bl w:val="nil"/>
            </w:tcBorders>
            <w:noWrap w:val="0"/>
            <w:vAlign w:val="center"/>
          </w:tcPr>
          <w:p w14:paraId="4FD26392">
            <w:pPr>
              <w:spacing w:line="360" w:lineRule="auto"/>
              <w:jc w:val="center"/>
              <w:rPr>
                <w:rFonts w:hint="eastAsia" w:ascii="仿宋" w:hAnsi="仿宋" w:eastAsia="仿宋" w:cs="仿宋"/>
                <w:color w:val="auto"/>
                <w:kern w:val="2"/>
                <w:sz w:val="21"/>
                <w:szCs w:val="21"/>
              </w:rPr>
            </w:pPr>
          </w:p>
        </w:tc>
        <w:tc>
          <w:tcPr>
            <w:tcW w:w="851" w:type="dxa"/>
            <w:tcBorders>
              <w:tl2br w:val="nil"/>
              <w:tr2bl w:val="nil"/>
            </w:tcBorders>
            <w:noWrap w:val="0"/>
            <w:vAlign w:val="center"/>
          </w:tcPr>
          <w:p w14:paraId="7998B516">
            <w:pPr>
              <w:spacing w:line="360" w:lineRule="auto"/>
              <w:jc w:val="center"/>
              <w:rPr>
                <w:rFonts w:hint="eastAsia" w:ascii="仿宋" w:hAnsi="仿宋" w:eastAsia="仿宋" w:cs="仿宋"/>
                <w:color w:val="auto"/>
                <w:kern w:val="2"/>
                <w:sz w:val="21"/>
                <w:szCs w:val="21"/>
              </w:rPr>
            </w:pPr>
          </w:p>
        </w:tc>
        <w:tc>
          <w:tcPr>
            <w:tcW w:w="992" w:type="dxa"/>
            <w:tcBorders>
              <w:tl2br w:val="nil"/>
              <w:tr2bl w:val="nil"/>
            </w:tcBorders>
            <w:noWrap w:val="0"/>
            <w:vAlign w:val="center"/>
          </w:tcPr>
          <w:p w14:paraId="54D65939">
            <w:pPr>
              <w:spacing w:line="360" w:lineRule="auto"/>
              <w:jc w:val="center"/>
              <w:rPr>
                <w:rFonts w:hint="eastAsia" w:ascii="仿宋" w:hAnsi="仿宋" w:eastAsia="仿宋" w:cs="仿宋"/>
                <w:color w:val="auto"/>
                <w:kern w:val="2"/>
                <w:sz w:val="21"/>
                <w:szCs w:val="21"/>
              </w:rPr>
            </w:pPr>
          </w:p>
        </w:tc>
        <w:tc>
          <w:tcPr>
            <w:tcW w:w="965" w:type="dxa"/>
            <w:tcBorders>
              <w:tl2br w:val="nil"/>
              <w:tr2bl w:val="nil"/>
            </w:tcBorders>
            <w:noWrap w:val="0"/>
            <w:vAlign w:val="center"/>
          </w:tcPr>
          <w:p w14:paraId="4B61A068">
            <w:pPr>
              <w:spacing w:line="360" w:lineRule="auto"/>
              <w:jc w:val="center"/>
              <w:rPr>
                <w:rFonts w:hint="eastAsia" w:ascii="仿宋" w:hAnsi="仿宋" w:eastAsia="仿宋" w:cs="仿宋"/>
                <w:color w:val="auto"/>
                <w:kern w:val="2"/>
                <w:sz w:val="21"/>
                <w:szCs w:val="21"/>
              </w:rPr>
            </w:pPr>
          </w:p>
        </w:tc>
      </w:tr>
      <w:tr w14:paraId="127558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noWrap w:val="0"/>
            <w:vAlign w:val="center"/>
          </w:tcPr>
          <w:p w14:paraId="45B55258">
            <w:pPr>
              <w:snapToGrid w:val="0"/>
              <w:spacing w:line="360" w:lineRule="auto"/>
              <w:jc w:val="center"/>
              <w:rPr>
                <w:rFonts w:hint="eastAsia" w:ascii="仿宋" w:hAnsi="仿宋" w:eastAsia="仿宋" w:cs="仿宋"/>
                <w:color w:val="auto"/>
                <w:kern w:val="2"/>
                <w:sz w:val="21"/>
                <w:szCs w:val="21"/>
              </w:rPr>
            </w:pPr>
            <w:r>
              <w:rPr>
                <w:rFonts w:hint="eastAsia" w:ascii="仿宋" w:hAnsi="仿宋" w:eastAsia="仿宋" w:cs="仿宋"/>
                <w:color w:val="auto"/>
                <w:kern w:val="2"/>
                <w:sz w:val="21"/>
                <w:szCs w:val="21"/>
              </w:rPr>
              <w:t>3</w:t>
            </w:r>
          </w:p>
        </w:tc>
        <w:tc>
          <w:tcPr>
            <w:tcW w:w="2552" w:type="dxa"/>
            <w:tcBorders>
              <w:tl2br w:val="nil"/>
              <w:tr2bl w:val="nil"/>
            </w:tcBorders>
            <w:noWrap w:val="0"/>
            <w:vAlign w:val="center"/>
          </w:tcPr>
          <w:p w14:paraId="032B4892">
            <w:pPr>
              <w:spacing w:line="360" w:lineRule="auto"/>
              <w:jc w:val="center"/>
              <w:rPr>
                <w:rFonts w:hint="eastAsia" w:ascii="仿宋" w:hAnsi="仿宋" w:eastAsia="仿宋" w:cs="仿宋"/>
                <w:color w:val="auto"/>
                <w:kern w:val="2"/>
                <w:sz w:val="21"/>
                <w:szCs w:val="21"/>
              </w:rPr>
            </w:pPr>
          </w:p>
        </w:tc>
        <w:tc>
          <w:tcPr>
            <w:tcW w:w="1559" w:type="dxa"/>
            <w:tcBorders>
              <w:tl2br w:val="nil"/>
              <w:tr2bl w:val="nil"/>
            </w:tcBorders>
            <w:noWrap w:val="0"/>
            <w:vAlign w:val="center"/>
          </w:tcPr>
          <w:p w14:paraId="01D211D6">
            <w:pPr>
              <w:spacing w:line="360" w:lineRule="auto"/>
              <w:jc w:val="center"/>
              <w:rPr>
                <w:rFonts w:hint="eastAsia" w:ascii="仿宋" w:hAnsi="仿宋" w:eastAsia="仿宋" w:cs="仿宋"/>
                <w:color w:val="auto"/>
                <w:kern w:val="2"/>
                <w:sz w:val="21"/>
                <w:szCs w:val="21"/>
              </w:rPr>
            </w:pPr>
          </w:p>
        </w:tc>
        <w:tc>
          <w:tcPr>
            <w:tcW w:w="1559" w:type="dxa"/>
            <w:tcBorders>
              <w:tl2br w:val="nil"/>
              <w:tr2bl w:val="nil"/>
            </w:tcBorders>
            <w:noWrap w:val="0"/>
            <w:vAlign w:val="center"/>
          </w:tcPr>
          <w:p w14:paraId="29F0534F">
            <w:pPr>
              <w:spacing w:line="360" w:lineRule="auto"/>
              <w:jc w:val="center"/>
              <w:rPr>
                <w:rFonts w:hint="eastAsia" w:ascii="仿宋" w:hAnsi="仿宋" w:eastAsia="仿宋" w:cs="仿宋"/>
                <w:color w:val="auto"/>
                <w:kern w:val="2"/>
                <w:sz w:val="21"/>
                <w:szCs w:val="21"/>
              </w:rPr>
            </w:pPr>
          </w:p>
        </w:tc>
        <w:tc>
          <w:tcPr>
            <w:tcW w:w="851" w:type="dxa"/>
            <w:tcBorders>
              <w:tl2br w:val="nil"/>
              <w:tr2bl w:val="nil"/>
            </w:tcBorders>
            <w:noWrap w:val="0"/>
            <w:vAlign w:val="center"/>
          </w:tcPr>
          <w:p w14:paraId="498B6ADE">
            <w:pPr>
              <w:spacing w:line="360" w:lineRule="auto"/>
              <w:jc w:val="center"/>
              <w:rPr>
                <w:rFonts w:hint="eastAsia" w:ascii="仿宋" w:hAnsi="仿宋" w:eastAsia="仿宋" w:cs="仿宋"/>
                <w:color w:val="auto"/>
                <w:kern w:val="2"/>
                <w:sz w:val="21"/>
                <w:szCs w:val="21"/>
              </w:rPr>
            </w:pPr>
          </w:p>
        </w:tc>
        <w:tc>
          <w:tcPr>
            <w:tcW w:w="992" w:type="dxa"/>
            <w:tcBorders>
              <w:tl2br w:val="nil"/>
              <w:tr2bl w:val="nil"/>
            </w:tcBorders>
            <w:noWrap w:val="0"/>
            <w:vAlign w:val="center"/>
          </w:tcPr>
          <w:p w14:paraId="60ADAEF6">
            <w:pPr>
              <w:spacing w:line="360" w:lineRule="auto"/>
              <w:jc w:val="center"/>
              <w:rPr>
                <w:rFonts w:hint="eastAsia" w:ascii="仿宋" w:hAnsi="仿宋" w:eastAsia="仿宋" w:cs="仿宋"/>
                <w:color w:val="auto"/>
                <w:kern w:val="2"/>
                <w:sz w:val="21"/>
                <w:szCs w:val="21"/>
              </w:rPr>
            </w:pPr>
          </w:p>
        </w:tc>
        <w:tc>
          <w:tcPr>
            <w:tcW w:w="965" w:type="dxa"/>
            <w:tcBorders>
              <w:tl2br w:val="nil"/>
              <w:tr2bl w:val="nil"/>
            </w:tcBorders>
            <w:noWrap w:val="0"/>
            <w:vAlign w:val="center"/>
          </w:tcPr>
          <w:p w14:paraId="053663DD">
            <w:pPr>
              <w:spacing w:line="360" w:lineRule="auto"/>
              <w:jc w:val="center"/>
              <w:rPr>
                <w:rFonts w:hint="eastAsia" w:ascii="仿宋" w:hAnsi="仿宋" w:eastAsia="仿宋" w:cs="仿宋"/>
                <w:color w:val="auto"/>
                <w:kern w:val="2"/>
                <w:sz w:val="21"/>
                <w:szCs w:val="21"/>
              </w:rPr>
            </w:pPr>
          </w:p>
        </w:tc>
      </w:tr>
      <w:tr w14:paraId="72579C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noWrap w:val="0"/>
            <w:vAlign w:val="center"/>
          </w:tcPr>
          <w:p w14:paraId="7B6A0CA4">
            <w:pPr>
              <w:snapToGrid w:val="0"/>
              <w:spacing w:line="360" w:lineRule="auto"/>
              <w:jc w:val="center"/>
              <w:rPr>
                <w:rFonts w:hint="eastAsia" w:ascii="仿宋" w:hAnsi="仿宋" w:eastAsia="仿宋" w:cs="仿宋"/>
                <w:color w:val="auto"/>
                <w:kern w:val="2"/>
                <w:sz w:val="21"/>
                <w:szCs w:val="21"/>
              </w:rPr>
            </w:pPr>
            <w:r>
              <w:rPr>
                <w:rFonts w:hint="eastAsia" w:ascii="仿宋" w:hAnsi="仿宋" w:eastAsia="仿宋" w:cs="仿宋"/>
                <w:color w:val="auto"/>
                <w:kern w:val="2"/>
                <w:sz w:val="21"/>
                <w:szCs w:val="21"/>
              </w:rPr>
              <w:t>合计</w:t>
            </w:r>
          </w:p>
        </w:tc>
        <w:tc>
          <w:tcPr>
            <w:tcW w:w="8478" w:type="dxa"/>
            <w:gridSpan w:val="6"/>
            <w:tcBorders>
              <w:tl2br w:val="nil"/>
              <w:tr2bl w:val="nil"/>
            </w:tcBorders>
            <w:noWrap w:val="0"/>
            <w:vAlign w:val="center"/>
          </w:tcPr>
          <w:p w14:paraId="618C28FF">
            <w:pPr>
              <w:spacing w:line="360" w:lineRule="auto"/>
              <w:jc w:val="center"/>
              <w:rPr>
                <w:rFonts w:hint="eastAsia" w:ascii="仿宋" w:hAnsi="仿宋" w:eastAsia="仿宋" w:cs="仿宋"/>
                <w:color w:val="auto"/>
                <w:kern w:val="2"/>
                <w:sz w:val="21"/>
                <w:szCs w:val="21"/>
              </w:rPr>
            </w:pPr>
          </w:p>
        </w:tc>
      </w:tr>
    </w:tbl>
    <w:p w14:paraId="0C2217A5">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2</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合同总价包括：产品供应费、运输费（含保险费）、安装调试费、检测验收费、培训费、售后服务费、税费及其它全部费用。</w:t>
      </w:r>
    </w:p>
    <w:p w14:paraId="1EED3E4B">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3</w:t>
      </w:r>
      <w:r>
        <w:rPr>
          <w:rFonts w:hint="eastAsia" w:ascii="仿宋" w:hAnsi="仿宋" w:eastAsia="仿宋" w:cs="Times New Roman"/>
          <w:color w:val="auto"/>
          <w:kern w:val="0"/>
          <w:sz w:val="24"/>
          <w:szCs w:val="24"/>
          <w:lang w:val="en-US" w:eastAsia="zh-CN"/>
        </w:rPr>
        <w:t>.本合同一旦签订生效后，</w:t>
      </w:r>
      <w:r>
        <w:rPr>
          <w:rFonts w:hint="eastAsia" w:ascii="仿宋" w:hAnsi="仿宋" w:eastAsia="仿宋" w:cs="Times New Roman"/>
          <w:color w:val="auto"/>
          <w:kern w:val="0"/>
          <w:sz w:val="24"/>
          <w:szCs w:val="24"/>
        </w:rPr>
        <w:t>货物单价</w:t>
      </w:r>
      <w:r>
        <w:rPr>
          <w:rFonts w:hint="eastAsia" w:ascii="仿宋" w:hAnsi="仿宋" w:eastAsia="仿宋" w:cs="Times New Roman"/>
          <w:color w:val="auto"/>
          <w:kern w:val="0"/>
          <w:sz w:val="24"/>
          <w:szCs w:val="24"/>
          <w:lang w:val="en-US" w:eastAsia="zh-CN"/>
        </w:rPr>
        <w:t>在合同履行期限内，该货物单价</w:t>
      </w:r>
      <w:r>
        <w:rPr>
          <w:rFonts w:hint="eastAsia" w:ascii="仿宋" w:hAnsi="仿宋" w:eastAsia="仿宋" w:cs="Times New Roman"/>
          <w:color w:val="auto"/>
          <w:kern w:val="0"/>
          <w:sz w:val="24"/>
          <w:szCs w:val="24"/>
        </w:rPr>
        <w:t>不受市场价格变化因素的影响。在项目实施中产生的其它费用，均由乙方</w:t>
      </w:r>
      <w:r>
        <w:rPr>
          <w:rFonts w:hint="eastAsia" w:ascii="仿宋" w:hAnsi="仿宋" w:eastAsia="仿宋" w:cs="Times New Roman"/>
          <w:color w:val="auto"/>
          <w:kern w:val="0"/>
          <w:sz w:val="24"/>
          <w:szCs w:val="24"/>
          <w:lang w:val="en-US" w:eastAsia="zh-CN"/>
        </w:rPr>
        <w:t>承担</w:t>
      </w:r>
      <w:r>
        <w:rPr>
          <w:rFonts w:hint="eastAsia" w:ascii="仿宋" w:hAnsi="仿宋" w:eastAsia="仿宋" w:cs="Times New Roman"/>
          <w:color w:val="auto"/>
          <w:kern w:val="0"/>
          <w:sz w:val="24"/>
          <w:szCs w:val="24"/>
        </w:rPr>
        <w:t>，甲方不再支付任何费用。</w:t>
      </w:r>
    </w:p>
    <w:p w14:paraId="01CB192B">
      <w:pPr>
        <w:spacing w:after="120" w:line="360" w:lineRule="auto"/>
        <w:ind w:firstLine="480" w:firstLineChars="200"/>
        <w:rPr>
          <w:rFonts w:hint="eastAsia" w:ascii="仿宋" w:hAnsi="仿宋" w:eastAsia="仿宋" w:cs="Times New Roman"/>
          <w:color w:val="auto"/>
          <w:kern w:val="0"/>
          <w:sz w:val="24"/>
          <w:szCs w:val="24"/>
          <w:u w:val="single"/>
        </w:rPr>
      </w:pPr>
      <w:r>
        <w:rPr>
          <w:rFonts w:hint="eastAsia" w:ascii="仿宋" w:hAnsi="仿宋" w:eastAsia="仿宋" w:cs="Times New Roman"/>
          <w:color w:val="auto"/>
          <w:kern w:val="0"/>
          <w:sz w:val="24"/>
          <w:szCs w:val="24"/>
        </w:rPr>
        <w:t>4</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乙方开户行：</w:t>
      </w:r>
    </w:p>
    <w:p w14:paraId="6836EE23">
      <w:pPr>
        <w:spacing w:after="120"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乙方公司名称及账号：</w:t>
      </w:r>
    </w:p>
    <w:p w14:paraId="2C190873">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rPr>
        <w:t>三、款项结算</w:t>
      </w:r>
    </w:p>
    <w:p w14:paraId="4474F5CE">
      <w:pPr>
        <w:kinsoku w:val="0"/>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1.合同签订后 ，达到付款条件起 30 日内，支付合同总金额的 30.00%，货物全部到达采购人指定地点并验收合格后 ，达到付款条件起 30 日内，支付合同总金额的 70.00%。</w:t>
      </w:r>
    </w:p>
    <w:p w14:paraId="204648FE">
      <w:pPr>
        <w:kinsoku w:val="0"/>
        <w:spacing w:line="360" w:lineRule="auto"/>
        <w:ind w:firstLine="480" w:firstLineChars="200"/>
        <w:rPr>
          <w:rFonts w:hint="eastAsia" w:ascii="仿宋" w:hAnsi="仿宋" w:eastAsia="仿宋" w:cs="Times New Roman"/>
          <w:color w:val="auto"/>
          <w:kern w:val="0"/>
          <w:sz w:val="24"/>
          <w:szCs w:val="24"/>
          <w:lang w:eastAsia="zh-CN"/>
        </w:rPr>
      </w:pPr>
      <w:r>
        <w:rPr>
          <w:rFonts w:hint="eastAsia" w:ascii="仿宋" w:hAnsi="仿宋" w:eastAsia="仿宋" w:cs="Times New Roman"/>
          <w:color w:val="auto"/>
          <w:kern w:val="0"/>
          <w:sz w:val="24"/>
          <w:szCs w:val="24"/>
          <w:lang w:val="en-US" w:eastAsia="zh-CN"/>
        </w:rPr>
        <w:t>2</w:t>
      </w:r>
      <w:r>
        <w:rPr>
          <w:rFonts w:hint="eastAsia" w:ascii="仿宋" w:hAnsi="仿宋" w:eastAsia="仿宋" w:cs="Times New Roman"/>
          <w:color w:val="auto"/>
          <w:kern w:val="0"/>
          <w:sz w:val="24"/>
          <w:szCs w:val="24"/>
          <w:lang w:eastAsia="zh-CN"/>
        </w:rPr>
        <w:t>.乙方应于甲方每次付款前向甲方开具等额发票，因乙方迟延开票，甲方有权拒不付款且不承担任何责任。</w:t>
      </w:r>
    </w:p>
    <w:p w14:paraId="7E3E935C">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lang w:val="en-US" w:eastAsia="zh-CN"/>
        </w:rPr>
        <w:t>四</w:t>
      </w:r>
      <w:r>
        <w:rPr>
          <w:rFonts w:hint="eastAsia" w:ascii="仿宋" w:hAnsi="仿宋" w:eastAsia="仿宋" w:cs="Times New Roman"/>
          <w:b/>
          <w:bCs/>
          <w:color w:val="auto"/>
          <w:kern w:val="0"/>
          <w:sz w:val="24"/>
          <w:szCs w:val="24"/>
        </w:rPr>
        <w:t>、双方的权利和义务</w:t>
      </w:r>
    </w:p>
    <w:p w14:paraId="593AEB69">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1</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甲方责任</w:t>
      </w:r>
    </w:p>
    <w:p w14:paraId="0570893F">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14:paraId="0F5C68FB">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2</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乙方责任</w:t>
      </w:r>
    </w:p>
    <w:p w14:paraId="07D1AFA6">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按时完成产品运行环境的检查；产品的交接；按时完成本合同所涉及产品的安装调试、验收工作；协助配合甲方完成应用系统的整合工作；为甲方提供《产品测试验收报告》；做好整个项目的售后服务技术支持工作。附件同时提供产品详细的中文技术规格书和外观照片。提供零配件供应周期、工时费等服务标准。</w:t>
      </w:r>
    </w:p>
    <w:p w14:paraId="4ABA0170">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lang w:val="en-US" w:eastAsia="zh-CN"/>
        </w:rPr>
        <w:t>五</w:t>
      </w:r>
      <w:r>
        <w:rPr>
          <w:rFonts w:hint="eastAsia" w:ascii="仿宋" w:hAnsi="仿宋" w:eastAsia="仿宋" w:cs="Times New Roman"/>
          <w:b/>
          <w:bCs/>
          <w:color w:val="auto"/>
          <w:kern w:val="0"/>
          <w:sz w:val="24"/>
          <w:szCs w:val="24"/>
        </w:rPr>
        <w:t>、交货条件：</w:t>
      </w:r>
    </w:p>
    <w:p w14:paraId="4DE13A81">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1</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 xml:space="preserve">交货地点:甲方指定地点。  </w:t>
      </w:r>
    </w:p>
    <w:p w14:paraId="2817FBAA">
      <w:pPr>
        <w:spacing w:line="360" w:lineRule="auto"/>
        <w:ind w:firstLine="360" w:firstLineChars="15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（1）乙方必须派</w:t>
      </w:r>
      <w:r>
        <w:rPr>
          <w:rFonts w:hint="eastAsia" w:ascii="仿宋" w:hAnsi="仿宋" w:eastAsia="仿宋" w:cs="Times New Roman"/>
          <w:color w:val="auto"/>
          <w:kern w:val="0"/>
          <w:sz w:val="24"/>
          <w:szCs w:val="24"/>
          <w:lang w:val="en-US" w:eastAsia="zh-CN"/>
        </w:rPr>
        <w:t>专</w:t>
      </w:r>
      <w:r>
        <w:rPr>
          <w:rFonts w:hint="eastAsia" w:ascii="仿宋" w:hAnsi="仿宋" w:eastAsia="仿宋" w:cs="Times New Roman"/>
          <w:color w:val="auto"/>
          <w:kern w:val="0"/>
          <w:sz w:val="24"/>
          <w:szCs w:val="24"/>
        </w:rPr>
        <w:t>人送货</w:t>
      </w:r>
      <w:r>
        <w:rPr>
          <w:rFonts w:hint="eastAsia" w:ascii="仿宋" w:hAnsi="仿宋" w:eastAsia="仿宋" w:cs="Times New Roman"/>
          <w:color w:val="auto"/>
          <w:kern w:val="0"/>
          <w:sz w:val="24"/>
          <w:szCs w:val="24"/>
          <w:lang w:eastAsia="zh-CN"/>
        </w:rPr>
        <w:t>，</w:t>
      </w:r>
      <w:r>
        <w:rPr>
          <w:rFonts w:hint="eastAsia" w:ascii="仿宋" w:hAnsi="仿宋" w:eastAsia="仿宋" w:cs="Times New Roman"/>
          <w:color w:val="auto"/>
          <w:kern w:val="0"/>
          <w:sz w:val="24"/>
          <w:szCs w:val="24"/>
          <w:lang w:val="en-US" w:eastAsia="zh-CN"/>
        </w:rPr>
        <w:t>配合</w:t>
      </w:r>
      <w:r>
        <w:rPr>
          <w:rFonts w:hint="eastAsia" w:ascii="仿宋" w:hAnsi="仿宋" w:eastAsia="仿宋" w:cs="Times New Roman"/>
          <w:color w:val="auto"/>
          <w:kern w:val="0"/>
          <w:sz w:val="24"/>
          <w:szCs w:val="24"/>
        </w:rPr>
        <w:t>清点、移交、</w:t>
      </w:r>
      <w:r>
        <w:rPr>
          <w:rFonts w:hint="eastAsia" w:ascii="仿宋" w:hAnsi="仿宋" w:eastAsia="仿宋" w:cs="Times New Roman"/>
          <w:color w:val="auto"/>
          <w:kern w:val="0"/>
          <w:sz w:val="24"/>
          <w:szCs w:val="24"/>
          <w:lang w:val="en-US" w:eastAsia="zh-CN"/>
        </w:rPr>
        <w:t>进行调试、</w:t>
      </w:r>
      <w:r>
        <w:rPr>
          <w:rFonts w:hint="eastAsia" w:ascii="仿宋" w:hAnsi="仿宋" w:eastAsia="仿宋" w:cs="Times New Roman"/>
          <w:color w:val="auto"/>
          <w:kern w:val="0"/>
          <w:sz w:val="24"/>
          <w:szCs w:val="24"/>
        </w:rPr>
        <w:t>培训。</w:t>
      </w:r>
      <w:r>
        <w:rPr>
          <w:rFonts w:hint="eastAsia" w:ascii="仿宋" w:hAnsi="仿宋" w:eastAsia="仿宋" w:cs="Times New Roman"/>
          <w:color w:val="auto"/>
          <w:kern w:val="0"/>
          <w:sz w:val="24"/>
          <w:szCs w:val="24"/>
          <w:lang w:val="en-US" w:eastAsia="zh-CN"/>
        </w:rPr>
        <w:t>不能以</w:t>
      </w:r>
      <w:r>
        <w:rPr>
          <w:rFonts w:hint="eastAsia" w:ascii="仿宋" w:hAnsi="仿宋" w:eastAsia="仿宋" w:cs="Times New Roman"/>
          <w:color w:val="auto"/>
          <w:kern w:val="0"/>
          <w:sz w:val="24"/>
          <w:szCs w:val="24"/>
        </w:rPr>
        <w:t>任何物流、邮寄供货。</w:t>
      </w:r>
    </w:p>
    <w:p w14:paraId="228F1E7A">
      <w:pPr>
        <w:spacing w:line="360" w:lineRule="auto"/>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 xml:space="preserve">   （2）本合同所有产品单件必须标明厂商、商标、型号、生产时间并附有效期内的检测报告并盖章。</w:t>
      </w:r>
    </w:p>
    <w:p w14:paraId="46A3297B">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2</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lang w:eastAsia="zh-CN"/>
        </w:rPr>
        <w:t>交货时间</w:t>
      </w:r>
      <w:r>
        <w:rPr>
          <w:rFonts w:hint="eastAsia" w:ascii="仿宋" w:hAnsi="仿宋" w:eastAsia="仿宋" w:cs="Times New Roman"/>
          <w:color w:val="auto"/>
          <w:kern w:val="0"/>
          <w:sz w:val="24"/>
          <w:szCs w:val="24"/>
        </w:rPr>
        <w:t>：合同签订</w:t>
      </w:r>
      <w:r>
        <w:rPr>
          <w:rFonts w:hint="eastAsia" w:ascii="仿宋" w:hAnsi="仿宋" w:eastAsia="仿宋" w:cs="Times New Roman"/>
          <w:color w:val="auto"/>
          <w:kern w:val="0"/>
          <w:sz w:val="24"/>
          <w:szCs w:val="24"/>
          <w:lang w:val="en-US" w:eastAsia="zh-CN"/>
        </w:rPr>
        <w:t>后25日历天</w:t>
      </w:r>
      <w:r>
        <w:rPr>
          <w:rFonts w:hint="eastAsia" w:ascii="仿宋" w:hAnsi="仿宋" w:eastAsia="仿宋" w:cs="Times New Roman"/>
          <w:color w:val="auto"/>
          <w:kern w:val="0"/>
          <w:sz w:val="24"/>
          <w:szCs w:val="24"/>
        </w:rPr>
        <w:t>。</w:t>
      </w:r>
    </w:p>
    <w:p w14:paraId="4E56F286">
      <w:pPr>
        <w:spacing w:line="360" w:lineRule="auto"/>
        <w:ind w:firstLine="482" w:firstLineChars="200"/>
        <w:rPr>
          <w:rFonts w:hint="default" w:ascii="仿宋" w:hAnsi="仿宋" w:eastAsia="仿宋" w:cs="Times New Roman"/>
          <w:b/>
          <w:bCs/>
          <w:color w:val="auto"/>
          <w:kern w:val="0"/>
          <w:sz w:val="24"/>
          <w:szCs w:val="24"/>
          <w:lang w:val="en-US" w:eastAsia="zh-CN"/>
        </w:rPr>
      </w:pPr>
      <w:r>
        <w:rPr>
          <w:rFonts w:hint="eastAsia" w:ascii="仿宋" w:hAnsi="仿宋" w:eastAsia="仿宋" w:cs="Times New Roman"/>
          <w:b/>
          <w:bCs/>
          <w:color w:val="auto"/>
          <w:kern w:val="0"/>
          <w:sz w:val="24"/>
          <w:szCs w:val="24"/>
          <w:lang w:val="en-US" w:eastAsia="zh-CN"/>
        </w:rPr>
        <w:t>六</w:t>
      </w:r>
      <w:r>
        <w:rPr>
          <w:rFonts w:hint="eastAsia" w:ascii="仿宋" w:hAnsi="仿宋" w:eastAsia="仿宋" w:cs="Times New Roman"/>
          <w:b/>
          <w:bCs/>
          <w:color w:val="auto"/>
          <w:kern w:val="0"/>
          <w:sz w:val="24"/>
          <w:szCs w:val="24"/>
        </w:rPr>
        <w:t>、运输</w:t>
      </w:r>
      <w:r>
        <w:rPr>
          <w:rFonts w:hint="eastAsia" w:ascii="仿宋" w:hAnsi="仿宋" w:eastAsia="仿宋" w:cs="Times New Roman"/>
          <w:b/>
          <w:bCs/>
          <w:color w:val="auto"/>
          <w:kern w:val="0"/>
          <w:sz w:val="24"/>
          <w:szCs w:val="24"/>
          <w:lang w:val="en-US" w:eastAsia="zh-CN"/>
        </w:rPr>
        <w:t>及风险</w:t>
      </w:r>
    </w:p>
    <w:p w14:paraId="1C8B70A5">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1.货物</w:t>
      </w:r>
      <w:r>
        <w:rPr>
          <w:rFonts w:hint="eastAsia" w:ascii="仿宋" w:hAnsi="仿宋" w:eastAsia="仿宋" w:cs="Times New Roman"/>
          <w:color w:val="auto"/>
          <w:kern w:val="0"/>
          <w:sz w:val="24"/>
          <w:szCs w:val="24"/>
        </w:rPr>
        <w:t>及其备附件的包装应为出厂时的原包装，包装内应附有详细的装箱清单、出厂合格证明及其他相关资料。</w:t>
      </w:r>
    </w:p>
    <w:p w14:paraId="0090F38E">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2.</w:t>
      </w:r>
      <w:r>
        <w:rPr>
          <w:rFonts w:hint="eastAsia" w:ascii="仿宋" w:hAnsi="仿宋" w:eastAsia="仿宋" w:cs="Times New Roman"/>
          <w:color w:val="auto"/>
          <w:kern w:val="0"/>
          <w:sz w:val="24"/>
          <w:szCs w:val="24"/>
        </w:rPr>
        <w:t>运输由乙方负责，运杂费已包含在合同总价内，包括从</w:t>
      </w:r>
      <w:r>
        <w:rPr>
          <w:rFonts w:hint="eastAsia" w:ascii="仿宋" w:hAnsi="仿宋" w:eastAsia="仿宋" w:cs="Times New Roman"/>
          <w:color w:val="auto"/>
          <w:kern w:val="0"/>
          <w:sz w:val="24"/>
          <w:szCs w:val="24"/>
          <w:lang w:val="en-US" w:eastAsia="zh-CN"/>
        </w:rPr>
        <w:t>货物</w:t>
      </w:r>
      <w:r>
        <w:rPr>
          <w:rFonts w:hint="eastAsia" w:ascii="仿宋" w:hAnsi="仿宋" w:eastAsia="仿宋" w:cs="Times New Roman"/>
          <w:color w:val="auto"/>
          <w:kern w:val="0"/>
          <w:sz w:val="24"/>
          <w:szCs w:val="24"/>
        </w:rPr>
        <w:t>供应地点运送至交付地点所含的运输费、装卸费、仓储费、保险费等。</w:t>
      </w:r>
    </w:p>
    <w:p w14:paraId="5BA17D7D">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3.</w:t>
      </w:r>
      <w:r>
        <w:rPr>
          <w:rFonts w:hint="eastAsia" w:ascii="仿宋" w:hAnsi="仿宋" w:eastAsia="仿宋" w:cs="Times New Roman"/>
          <w:color w:val="auto"/>
          <w:kern w:val="0"/>
          <w:sz w:val="24"/>
          <w:szCs w:val="24"/>
        </w:rPr>
        <w:t>运输方式由供应商自行选择，但必须保证按期交付。</w:t>
      </w:r>
    </w:p>
    <w:p w14:paraId="3F71D2E3">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4.货物</w:t>
      </w:r>
      <w:r>
        <w:rPr>
          <w:rFonts w:hint="eastAsia" w:ascii="仿宋" w:hAnsi="仿宋" w:eastAsia="仿宋" w:cs="Times New Roman"/>
          <w:color w:val="auto"/>
          <w:kern w:val="0"/>
          <w:sz w:val="24"/>
          <w:szCs w:val="24"/>
        </w:rPr>
        <w:t>到达采购人指定地点后，乙方应按有关技术规程和采购人要求进行存放和保管。</w:t>
      </w:r>
    </w:p>
    <w:p w14:paraId="4DB16E45">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lang w:val="en-US" w:eastAsia="zh-CN"/>
        </w:rPr>
        <w:t>七</w:t>
      </w:r>
      <w:r>
        <w:rPr>
          <w:rFonts w:hint="eastAsia" w:ascii="仿宋" w:hAnsi="仿宋" w:eastAsia="仿宋" w:cs="Times New Roman"/>
          <w:b/>
          <w:bCs/>
          <w:color w:val="auto"/>
          <w:kern w:val="0"/>
          <w:sz w:val="24"/>
          <w:szCs w:val="24"/>
        </w:rPr>
        <w:t>、乙方质量保证</w:t>
      </w:r>
    </w:p>
    <w:p w14:paraId="4F325E51">
      <w:pPr>
        <w:spacing w:line="360" w:lineRule="auto"/>
        <w:ind w:firstLine="480"/>
        <w:jc w:val="left"/>
        <w:textAlignment w:val="top"/>
        <w:rPr>
          <w:rFonts w:hint="eastAsia" w:ascii="仿宋" w:hAnsi="仿宋" w:eastAsia="仿宋" w:cs="Times New Roman"/>
          <w:color w:val="auto"/>
          <w:kern w:val="0"/>
          <w:sz w:val="24"/>
          <w:szCs w:val="24"/>
          <w:lang w:val="en-US" w:eastAsia="zh-CN"/>
        </w:rPr>
      </w:pPr>
      <w:r>
        <w:rPr>
          <w:rFonts w:hint="eastAsia" w:ascii="仿宋" w:hAnsi="仿宋" w:eastAsia="仿宋" w:cs="Times New Roman"/>
          <w:color w:val="auto"/>
          <w:kern w:val="0"/>
          <w:sz w:val="24"/>
          <w:szCs w:val="24"/>
          <w:lang w:val="en-US" w:eastAsia="zh-CN"/>
        </w:rPr>
        <w:t>1.质保期要求：质保期为车辆验收合格之日起一年，供应商承诺超过磋商文件要求的，按其承诺的质保期进行质保，质保期起始时间为终验合格之日。</w:t>
      </w:r>
    </w:p>
    <w:p w14:paraId="6D01BD99">
      <w:pPr>
        <w:spacing w:line="360" w:lineRule="auto"/>
        <w:ind w:firstLine="480"/>
        <w:jc w:val="left"/>
        <w:textAlignment w:val="top"/>
        <w:rPr>
          <w:rFonts w:hint="eastAsia" w:ascii="仿宋" w:hAnsi="仿宋" w:eastAsia="仿宋" w:cs="Times New Roman"/>
          <w:color w:val="auto"/>
          <w:kern w:val="0"/>
          <w:sz w:val="24"/>
          <w:szCs w:val="24"/>
          <w:lang w:val="en-US" w:eastAsia="zh-CN"/>
        </w:rPr>
      </w:pPr>
      <w:r>
        <w:rPr>
          <w:rFonts w:hint="eastAsia" w:ascii="仿宋" w:hAnsi="仿宋" w:eastAsia="仿宋" w:cs="Times New Roman"/>
          <w:color w:val="auto"/>
          <w:kern w:val="0"/>
          <w:sz w:val="24"/>
          <w:szCs w:val="24"/>
          <w:lang w:val="en-US" w:eastAsia="zh-CN"/>
        </w:rPr>
        <w:t>2.“三包包”要求：：货物（产品）属于国家规定的“三包产品”，产品制造商、经销代理商应遵守“三包”的规定，在产品发生质量问题时，及时对所提供产品实行“包退、包换、保修”服务。</w:t>
      </w:r>
    </w:p>
    <w:p w14:paraId="455B29B1">
      <w:pPr>
        <w:spacing w:line="360" w:lineRule="auto"/>
        <w:ind w:firstLine="480"/>
        <w:jc w:val="left"/>
        <w:textAlignment w:val="top"/>
        <w:rPr>
          <w:rFonts w:hint="eastAsia" w:ascii="仿宋" w:hAnsi="仿宋" w:eastAsia="仿宋" w:cs="Times New Roman"/>
          <w:color w:val="auto"/>
          <w:kern w:val="0"/>
          <w:sz w:val="24"/>
          <w:szCs w:val="24"/>
          <w:lang w:val="en-US" w:eastAsia="zh-CN"/>
        </w:rPr>
      </w:pPr>
      <w:r>
        <w:rPr>
          <w:rFonts w:hint="eastAsia" w:ascii="仿宋" w:hAnsi="仿宋" w:eastAsia="仿宋" w:cs="Times New Roman"/>
          <w:color w:val="auto"/>
          <w:kern w:val="0"/>
          <w:sz w:val="24"/>
          <w:szCs w:val="24"/>
          <w:lang w:val="en-US" w:eastAsia="zh-CN"/>
        </w:rPr>
        <w:t>3.电子电器产品服务要求：货物（产品）属于电子电器的，产品制造商、经销代理商应按照《政府采购电子电器服务规范》（GB/T 33496-2017）的要求提供服务。</w:t>
      </w:r>
    </w:p>
    <w:p w14:paraId="59699A53">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4.</w:t>
      </w:r>
      <w:r>
        <w:rPr>
          <w:rFonts w:hint="eastAsia" w:ascii="仿宋" w:hAnsi="仿宋" w:eastAsia="仿宋" w:cs="Times New Roman"/>
          <w:color w:val="auto"/>
          <w:kern w:val="0"/>
          <w:sz w:val="24"/>
          <w:szCs w:val="24"/>
        </w:rPr>
        <w:t>保证所供</w:t>
      </w:r>
      <w:r>
        <w:rPr>
          <w:rFonts w:hint="eastAsia" w:ascii="仿宋" w:hAnsi="仿宋" w:eastAsia="仿宋" w:cs="Times New Roman"/>
          <w:color w:val="auto"/>
          <w:kern w:val="0"/>
          <w:sz w:val="24"/>
          <w:szCs w:val="24"/>
          <w:lang w:val="en-US" w:eastAsia="zh-CN"/>
        </w:rPr>
        <w:t>货物</w:t>
      </w:r>
      <w:r>
        <w:rPr>
          <w:rFonts w:hint="eastAsia" w:ascii="仿宋" w:hAnsi="仿宋" w:eastAsia="仿宋" w:cs="Times New Roman"/>
          <w:color w:val="auto"/>
          <w:kern w:val="0"/>
          <w:sz w:val="24"/>
          <w:szCs w:val="24"/>
        </w:rPr>
        <w:t>的设计、制造、产品性能、材料的选择和材料的检验及产品的测试等，均应按国内外通行的现行标准相应的技术规范，以及质量、安全、环保标准和要求执行，这些标准和技术规范应为合同签订日为止最新公布发行的标准和技术规范。</w:t>
      </w:r>
    </w:p>
    <w:p w14:paraId="1857F712">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5.</w:t>
      </w:r>
      <w:r>
        <w:rPr>
          <w:rFonts w:hint="eastAsia" w:ascii="仿宋" w:hAnsi="仿宋" w:eastAsia="仿宋" w:cs="Times New Roman"/>
          <w:color w:val="auto"/>
          <w:kern w:val="0"/>
          <w:sz w:val="24"/>
          <w:szCs w:val="24"/>
        </w:rPr>
        <w:t>保证所供</w:t>
      </w:r>
      <w:r>
        <w:rPr>
          <w:rFonts w:hint="eastAsia" w:ascii="仿宋" w:hAnsi="仿宋" w:eastAsia="仿宋" w:cs="Times New Roman"/>
          <w:color w:val="auto"/>
          <w:kern w:val="0"/>
          <w:sz w:val="24"/>
          <w:szCs w:val="24"/>
          <w:lang w:val="en-US" w:eastAsia="zh-CN"/>
        </w:rPr>
        <w:t>货物</w:t>
      </w:r>
      <w:r>
        <w:rPr>
          <w:rFonts w:hint="eastAsia" w:ascii="仿宋" w:hAnsi="仿宋" w:eastAsia="仿宋" w:cs="Times New Roman"/>
          <w:color w:val="auto"/>
          <w:kern w:val="0"/>
          <w:sz w:val="24"/>
          <w:szCs w:val="24"/>
        </w:rPr>
        <w:t>进货渠道正规，无假货、水货或翻新货，并能按期交付。</w:t>
      </w:r>
    </w:p>
    <w:p w14:paraId="2F5505FE">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6.</w:t>
      </w:r>
      <w:r>
        <w:rPr>
          <w:rFonts w:hint="eastAsia" w:ascii="仿宋" w:hAnsi="仿宋" w:eastAsia="仿宋" w:cs="Times New Roman"/>
          <w:color w:val="auto"/>
          <w:kern w:val="0"/>
          <w:sz w:val="24"/>
          <w:szCs w:val="24"/>
        </w:rPr>
        <w:t>保证所供</w:t>
      </w:r>
      <w:r>
        <w:rPr>
          <w:rFonts w:hint="eastAsia" w:ascii="仿宋" w:hAnsi="仿宋" w:eastAsia="仿宋" w:cs="Times New Roman"/>
          <w:color w:val="auto"/>
          <w:kern w:val="0"/>
          <w:sz w:val="24"/>
          <w:szCs w:val="24"/>
          <w:lang w:val="en-US" w:eastAsia="zh-CN"/>
        </w:rPr>
        <w:t>货物</w:t>
      </w:r>
      <w:r>
        <w:rPr>
          <w:rFonts w:hint="eastAsia" w:ascii="仿宋" w:hAnsi="仿宋" w:eastAsia="仿宋" w:cs="Times New Roman"/>
          <w:color w:val="auto"/>
          <w:kern w:val="0"/>
          <w:sz w:val="24"/>
          <w:szCs w:val="24"/>
        </w:rPr>
        <w:t>在装卸、运输和仓储过程中有足够的包装保护，防止产品受潮、锈蚀、遭受冲撞及其他不可预见的损坏。</w:t>
      </w:r>
    </w:p>
    <w:p w14:paraId="1490C96F">
      <w:pPr>
        <w:spacing w:line="360" w:lineRule="auto"/>
        <w:ind w:firstLine="480"/>
        <w:jc w:val="left"/>
        <w:textAlignment w:val="top"/>
        <w:rPr>
          <w:rFonts w:hint="eastAsia" w:ascii="仿宋" w:hAnsi="仿宋" w:eastAsia="仿宋" w:cs="Times New Roman"/>
          <w:color w:val="auto"/>
          <w:kern w:val="0"/>
          <w:sz w:val="24"/>
          <w:szCs w:val="24"/>
          <w:lang w:eastAsia="zh-CN"/>
        </w:rPr>
      </w:pPr>
      <w:r>
        <w:rPr>
          <w:rFonts w:hint="eastAsia" w:ascii="仿宋" w:hAnsi="仿宋" w:eastAsia="仿宋" w:cs="Times New Roman"/>
          <w:color w:val="auto"/>
          <w:kern w:val="0"/>
          <w:sz w:val="24"/>
          <w:szCs w:val="24"/>
          <w:lang w:val="en-US" w:eastAsia="zh-CN"/>
        </w:rPr>
        <w:t>7.</w:t>
      </w:r>
      <w:r>
        <w:rPr>
          <w:rFonts w:hint="eastAsia" w:ascii="仿宋" w:hAnsi="仿宋" w:eastAsia="仿宋" w:cs="Times New Roman"/>
          <w:color w:val="auto"/>
          <w:kern w:val="0"/>
          <w:sz w:val="24"/>
          <w:szCs w:val="24"/>
        </w:rPr>
        <w:t>供应商所供</w:t>
      </w:r>
      <w:r>
        <w:rPr>
          <w:rFonts w:hint="eastAsia" w:ascii="仿宋" w:hAnsi="仿宋" w:eastAsia="仿宋" w:cs="Times New Roman"/>
          <w:color w:val="auto"/>
          <w:kern w:val="0"/>
          <w:sz w:val="24"/>
          <w:szCs w:val="24"/>
          <w:lang w:val="en-US" w:eastAsia="zh-CN"/>
        </w:rPr>
        <w:t>货物</w:t>
      </w:r>
      <w:r>
        <w:rPr>
          <w:rFonts w:hint="eastAsia" w:ascii="仿宋" w:hAnsi="仿宋" w:eastAsia="仿宋" w:cs="Times New Roman"/>
          <w:color w:val="auto"/>
          <w:kern w:val="0"/>
          <w:sz w:val="24"/>
          <w:szCs w:val="24"/>
        </w:rPr>
        <w:t>因侵权而产生的一切后果由供应商负责，采购人保留索赔权力</w:t>
      </w:r>
      <w:r>
        <w:rPr>
          <w:rFonts w:hint="eastAsia" w:ascii="仿宋" w:hAnsi="仿宋" w:eastAsia="仿宋" w:cs="Times New Roman"/>
          <w:color w:val="auto"/>
          <w:kern w:val="0"/>
          <w:sz w:val="24"/>
          <w:szCs w:val="24"/>
          <w:lang w:eastAsia="zh-CN"/>
        </w:rPr>
        <w:t>。</w:t>
      </w:r>
    </w:p>
    <w:p w14:paraId="3D92D905">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8.</w:t>
      </w:r>
      <w:r>
        <w:rPr>
          <w:rFonts w:hint="eastAsia" w:ascii="仿宋" w:hAnsi="仿宋" w:eastAsia="仿宋" w:cs="Times New Roman"/>
          <w:color w:val="auto"/>
          <w:kern w:val="0"/>
          <w:sz w:val="24"/>
          <w:szCs w:val="24"/>
        </w:rPr>
        <w:t>乙方所供服务因侵权而产生的一切后果由乙方负责，甲方保留索赔权。</w:t>
      </w:r>
    </w:p>
    <w:p w14:paraId="66C49026">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lang w:val="en-US" w:eastAsia="zh-CN"/>
        </w:rPr>
        <w:t>八</w:t>
      </w:r>
      <w:r>
        <w:rPr>
          <w:rFonts w:hint="eastAsia" w:ascii="仿宋" w:hAnsi="仿宋" w:eastAsia="仿宋" w:cs="Times New Roman"/>
          <w:b/>
          <w:bCs/>
          <w:color w:val="auto"/>
          <w:kern w:val="0"/>
          <w:sz w:val="24"/>
          <w:szCs w:val="24"/>
        </w:rPr>
        <w:t>、乙方售后服务</w:t>
      </w:r>
    </w:p>
    <w:p w14:paraId="78D39E9A">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1</w:t>
      </w:r>
      <w:r>
        <w:rPr>
          <w:rFonts w:hint="eastAsia" w:ascii="仿宋" w:hAnsi="仿宋" w:eastAsia="仿宋" w:cs="Times New Roman"/>
          <w:color w:val="auto"/>
          <w:kern w:val="0"/>
          <w:sz w:val="24"/>
          <w:szCs w:val="24"/>
        </w:rPr>
        <w:t>.成交人须指派专人负责与采购人联系售后服务事宜；</w:t>
      </w:r>
    </w:p>
    <w:p w14:paraId="62815F01">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2</w:t>
      </w:r>
      <w:r>
        <w:rPr>
          <w:rFonts w:hint="eastAsia" w:ascii="仿宋" w:hAnsi="仿宋" w:eastAsia="仿宋" w:cs="Times New Roman"/>
          <w:color w:val="auto"/>
          <w:kern w:val="0"/>
          <w:sz w:val="24"/>
          <w:szCs w:val="24"/>
        </w:rPr>
        <w:t>.</w:t>
      </w:r>
      <w:r>
        <w:rPr>
          <w:rFonts w:hint="eastAsia" w:ascii="仿宋" w:hAnsi="仿宋" w:eastAsia="仿宋" w:cs="Times New Roman"/>
          <w:color w:val="auto"/>
          <w:kern w:val="0"/>
          <w:sz w:val="24"/>
          <w:szCs w:val="24"/>
          <w:lang w:eastAsia="zh-CN"/>
        </w:rPr>
        <w:t>成交人</w:t>
      </w:r>
      <w:r>
        <w:rPr>
          <w:rFonts w:hint="eastAsia" w:ascii="仿宋" w:hAnsi="仿宋" w:eastAsia="仿宋" w:cs="Times New Roman"/>
          <w:color w:val="auto"/>
          <w:kern w:val="0"/>
          <w:sz w:val="24"/>
          <w:szCs w:val="24"/>
        </w:rPr>
        <w:t>负责货物（产品）的现场安装、调试和启动；</w:t>
      </w:r>
    </w:p>
    <w:p w14:paraId="0D2DD8F0">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3</w:t>
      </w:r>
      <w:r>
        <w:rPr>
          <w:rFonts w:hint="eastAsia" w:ascii="仿宋" w:hAnsi="仿宋" w:eastAsia="仿宋" w:cs="Times New Roman"/>
          <w:color w:val="auto"/>
          <w:kern w:val="0"/>
          <w:sz w:val="24"/>
          <w:szCs w:val="24"/>
        </w:rPr>
        <w:t>.</w:t>
      </w:r>
      <w:r>
        <w:rPr>
          <w:rFonts w:hint="eastAsia" w:ascii="仿宋" w:hAnsi="仿宋" w:eastAsia="仿宋" w:cs="Times New Roman"/>
          <w:color w:val="auto"/>
          <w:kern w:val="0"/>
          <w:sz w:val="24"/>
          <w:szCs w:val="24"/>
          <w:lang w:eastAsia="zh-CN"/>
        </w:rPr>
        <w:t>成交人</w:t>
      </w:r>
      <w:r>
        <w:rPr>
          <w:rFonts w:hint="eastAsia" w:ascii="仿宋" w:hAnsi="仿宋" w:eastAsia="仿宋" w:cs="Times New Roman"/>
          <w:color w:val="auto"/>
          <w:kern w:val="0"/>
          <w:sz w:val="24"/>
          <w:szCs w:val="24"/>
        </w:rPr>
        <w:t>负责货物（产品）的安装、启动、运行及维护等对使用人员进行免费培训：培训主要内容为货物的基本结构、性能、主要部件的构造及原理，日常使用操作、维护保养与管理，常见故障的排除、紧急情况的处理等，如使用方未使用过同类型货物，</w:t>
      </w:r>
      <w:r>
        <w:rPr>
          <w:rFonts w:hint="eastAsia" w:ascii="仿宋" w:hAnsi="仿宋" w:eastAsia="仿宋" w:cs="Times New Roman"/>
          <w:color w:val="auto"/>
          <w:kern w:val="0"/>
          <w:sz w:val="24"/>
          <w:szCs w:val="24"/>
          <w:lang w:eastAsia="zh-CN"/>
        </w:rPr>
        <w:t>成交人</w:t>
      </w:r>
      <w:r>
        <w:rPr>
          <w:rFonts w:hint="eastAsia" w:ascii="仿宋" w:hAnsi="仿宋" w:eastAsia="仿宋" w:cs="Times New Roman"/>
          <w:color w:val="auto"/>
          <w:kern w:val="0"/>
          <w:sz w:val="24"/>
          <w:szCs w:val="24"/>
        </w:rPr>
        <w:t>还需就货物的功能对使用方人员进行相应的技术培训，培训地点为货物安装现场或由使用方安排；</w:t>
      </w:r>
    </w:p>
    <w:p w14:paraId="5C31F6D2">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4</w:t>
      </w:r>
      <w:r>
        <w:rPr>
          <w:rFonts w:hint="eastAsia" w:ascii="仿宋" w:hAnsi="仿宋" w:eastAsia="仿宋" w:cs="Times New Roman"/>
          <w:color w:val="auto"/>
          <w:kern w:val="0"/>
          <w:sz w:val="24"/>
          <w:szCs w:val="24"/>
        </w:rPr>
        <w:t>.质保期自采购人在货物质量验收单（终验）上签名之日起计算，质保费用计入总价；</w:t>
      </w:r>
    </w:p>
    <w:p w14:paraId="2F803D3F">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5</w:t>
      </w:r>
      <w:r>
        <w:rPr>
          <w:rFonts w:hint="eastAsia" w:ascii="仿宋" w:hAnsi="仿宋" w:eastAsia="仿宋" w:cs="Times New Roman"/>
          <w:color w:val="auto"/>
          <w:kern w:val="0"/>
          <w:sz w:val="24"/>
          <w:szCs w:val="24"/>
        </w:rPr>
        <w:t>.质保期内，</w:t>
      </w:r>
      <w:r>
        <w:rPr>
          <w:rFonts w:hint="eastAsia" w:ascii="仿宋" w:hAnsi="仿宋" w:eastAsia="仿宋" w:cs="Times New Roman"/>
          <w:color w:val="auto"/>
          <w:kern w:val="0"/>
          <w:sz w:val="24"/>
          <w:szCs w:val="24"/>
          <w:lang w:eastAsia="zh-CN"/>
        </w:rPr>
        <w:t>成交人</w:t>
      </w:r>
      <w:r>
        <w:rPr>
          <w:rFonts w:hint="eastAsia" w:ascii="仿宋" w:hAnsi="仿宋" w:eastAsia="仿宋" w:cs="Times New Roman"/>
          <w:color w:val="auto"/>
          <w:kern w:val="0"/>
          <w:sz w:val="24"/>
          <w:szCs w:val="24"/>
        </w:rPr>
        <w:t>负责对其提供的货物整机进行维修和系统维护，不再收取任何费用，但不可抗力（如火灾、雷击等）造成的故障除外；</w:t>
      </w:r>
    </w:p>
    <w:p w14:paraId="67083145">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6</w:t>
      </w:r>
      <w:r>
        <w:rPr>
          <w:rFonts w:hint="eastAsia" w:ascii="仿宋" w:hAnsi="仿宋" w:eastAsia="仿宋" w:cs="Times New Roman"/>
          <w:color w:val="auto"/>
          <w:kern w:val="0"/>
          <w:sz w:val="24"/>
          <w:szCs w:val="24"/>
        </w:rPr>
        <w:t>.</w:t>
      </w:r>
      <w:r>
        <w:rPr>
          <w:rFonts w:hint="eastAsia" w:ascii="仿宋" w:hAnsi="仿宋" w:eastAsia="仿宋" w:cs="Times New Roman"/>
          <w:color w:val="auto"/>
          <w:kern w:val="0"/>
          <w:sz w:val="24"/>
          <w:szCs w:val="24"/>
          <w:lang w:eastAsia="zh-CN"/>
        </w:rPr>
        <w:t>成交人</w:t>
      </w:r>
      <w:r>
        <w:rPr>
          <w:rFonts w:hint="eastAsia" w:ascii="仿宋" w:hAnsi="仿宋" w:eastAsia="仿宋" w:cs="Times New Roman"/>
          <w:color w:val="auto"/>
          <w:kern w:val="0"/>
          <w:sz w:val="24"/>
          <w:szCs w:val="24"/>
        </w:rPr>
        <w:t>在接到甲方通知后须24 小时内完成维修或更换，并承担修理或更换的费用；</w:t>
      </w:r>
    </w:p>
    <w:p w14:paraId="053F3EBA">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7.</w:t>
      </w:r>
      <w:r>
        <w:rPr>
          <w:rFonts w:hint="eastAsia" w:ascii="仿宋" w:hAnsi="仿宋" w:eastAsia="仿宋" w:cs="Times New Roman"/>
          <w:color w:val="auto"/>
          <w:kern w:val="0"/>
          <w:sz w:val="24"/>
          <w:szCs w:val="24"/>
        </w:rPr>
        <w:t>货物故障报修的响应时间为：工作期间（星期一至星期五8：00-18：00）为2时；非工作期间为4小时</w:t>
      </w:r>
    </w:p>
    <w:p w14:paraId="243CD90D">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8</w:t>
      </w:r>
      <w:r>
        <w:rPr>
          <w:rFonts w:hint="eastAsia" w:ascii="仿宋" w:hAnsi="仿宋" w:eastAsia="仿宋" w:cs="Times New Roman"/>
          <w:color w:val="auto"/>
          <w:kern w:val="0"/>
          <w:sz w:val="24"/>
          <w:szCs w:val="24"/>
        </w:rPr>
        <w:t>.所有货物服务方式均为</w:t>
      </w:r>
      <w:r>
        <w:rPr>
          <w:rFonts w:hint="eastAsia" w:ascii="仿宋" w:hAnsi="仿宋" w:eastAsia="仿宋" w:cs="Times New Roman"/>
          <w:color w:val="auto"/>
          <w:kern w:val="0"/>
          <w:sz w:val="24"/>
          <w:szCs w:val="24"/>
          <w:lang w:eastAsia="zh-CN"/>
        </w:rPr>
        <w:t>成交人</w:t>
      </w:r>
      <w:r>
        <w:rPr>
          <w:rFonts w:hint="eastAsia" w:ascii="仿宋" w:hAnsi="仿宋" w:eastAsia="仿宋" w:cs="Times New Roman"/>
          <w:color w:val="auto"/>
          <w:kern w:val="0"/>
          <w:sz w:val="24"/>
          <w:szCs w:val="24"/>
        </w:rPr>
        <w:t>上门服务，即由</w:t>
      </w:r>
      <w:r>
        <w:rPr>
          <w:rFonts w:hint="eastAsia" w:ascii="仿宋" w:hAnsi="仿宋" w:eastAsia="仿宋" w:cs="Times New Roman"/>
          <w:color w:val="auto"/>
          <w:kern w:val="0"/>
          <w:sz w:val="24"/>
          <w:szCs w:val="24"/>
          <w:lang w:eastAsia="zh-CN"/>
        </w:rPr>
        <w:t>成交人</w:t>
      </w:r>
      <w:r>
        <w:rPr>
          <w:rFonts w:hint="eastAsia" w:ascii="仿宋" w:hAnsi="仿宋" w:eastAsia="仿宋" w:cs="Times New Roman"/>
          <w:color w:val="auto"/>
          <w:kern w:val="0"/>
          <w:sz w:val="24"/>
          <w:szCs w:val="24"/>
        </w:rPr>
        <w:t>派员到货物使用现场维修，由此产生的一切费用均由中标人承担；</w:t>
      </w:r>
    </w:p>
    <w:p w14:paraId="580586B4">
      <w:pPr>
        <w:spacing w:line="360" w:lineRule="auto"/>
        <w:ind w:firstLine="480"/>
        <w:jc w:val="left"/>
        <w:textAlignment w:val="top"/>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lang w:val="en-US" w:eastAsia="zh-CN"/>
        </w:rPr>
        <w:t>9</w:t>
      </w:r>
      <w:bookmarkStart w:id="0" w:name="_GoBack"/>
      <w:bookmarkEnd w:id="0"/>
      <w:r>
        <w:rPr>
          <w:rFonts w:hint="eastAsia" w:ascii="仿宋" w:hAnsi="仿宋" w:eastAsia="仿宋" w:cs="Times New Roman"/>
          <w:color w:val="auto"/>
          <w:kern w:val="0"/>
          <w:sz w:val="24"/>
          <w:szCs w:val="24"/>
        </w:rPr>
        <w:t>.质保期结束后的货物维修、维护及费用由双方另行协商；</w:t>
      </w:r>
    </w:p>
    <w:p w14:paraId="7C9A881B">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lang w:val="en-US" w:eastAsia="zh-CN"/>
        </w:rPr>
        <w:t>九</w:t>
      </w:r>
      <w:r>
        <w:rPr>
          <w:rFonts w:hint="eastAsia" w:ascii="仿宋" w:hAnsi="仿宋" w:eastAsia="仿宋" w:cs="Times New Roman"/>
          <w:b/>
          <w:bCs/>
          <w:color w:val="auto"/>
          <w:kern w:val="0"/>
          <w:sz w:val="24"/>
          <w:szCs w:val="24"/>
        </w:rPr>
        <w:t>、乙方提供技术与服务</w:t>
      </w:r>
    </w:p>
    <w:p w14:paraId="5CB8E95F">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1</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随同货物提供相应的中文技术文件（包括产品合格证、装箱清单、操作手册、使用说明、检测报告、维护手册、服务指南等资料）；</w:t>
      </w:r>
    </w:p>
    <w:p w14:paraId="62EFB746">
      <w:pPr>
        <w:spacing w:line="360" w:lineRule="auto"/>
        <w:ind w:firstLine="48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2</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 xml:space="preserve">现场安装、调试、试运行技术保障服务； </w:t>
      </w:r>
    </w:p>
    <w:p w14:paraId="56FBA54E">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rPr>
        <w:t>十、违约责任</w:t>
      </w:r>
    </w:p>
    <w:p w14:paraId="414E738B">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1</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按《中华人民共和国民法典》中的相关条款执行。</w:t>
      </w:r>
    </w:p>
    <w:p w14:paraId="01AA8E0C">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2</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r>
        <w:rPr>
          <w:rFonts w:hint="eastAsia" w:ascii="仿宋" w:hAnsi="仿宋" w:eastAsia="仿宋" w:cs="Times New Roman"/>
          <w:color w:val="auto"/>
          <w:kern w:val="0"/>
          <w:sz w:val="24"/>
          <w:szCs w:val="24"/>
          <w:lang w:val="en-US" w:eastAsia="zh-CN"/>
        </w:rPr>
        <w:t>损失</w:t>
      </w:r>
      <w:r>
        <w:rPr>
          <w:rFonts w:hint="eastAsia" w:ascii="仿宋" w:hAnsi="仿宋" w:eastAsia="仿宋" w:cs="Times New Roman"/>
          <w:color w:val="auto"/>
          <w:kern w:val="0"/>
          <w:sz w:val="24"/>
          <w:szCs w:val="24"/>
        </w:rPr>
        <w:t>；</w:t>
      </w:r>
    </w:p>
    <w:p w14:paraId="3CC5A041">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3</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交货期每逾期一天，乙方应向甲方支付合同总价款的</w:t>
      </w:r>
      <w:r>
        <w:rPr>
          <w:rFonts w:hint="eastAsia" w:ascii="仿宋" w:hAnsi="仿宋" w:eastAsia="仿宋" w:cs="Times New Roman"/>
          <w:color w:val="auto"/>
          <w:kern w:val="0"/>
          <w:sz w:val="24"/>
          <w:szCs w:val="24"/>
          <w:lang w:val="en-US" w:eastAsia="zh-CN"/>
        </w:rPr>
        <w:t>1</w:t>
      </w:r>
      <w:r>
        <w:rPr>
          <w:rFonts w:hint="eastAsia" w:ascii="仿宋" w:hAnsi="仿宋" w:eastAsia="仿宋" w:cs="Times New Roman"/>
          <w:color w:val="auto"/>
          <w:kern w:val="0"/>
          <w:sz w:val="24"/>
          <w:szCs w:val="24"/>
        </w:rPr>
        <w:t>‰违约金。逾期超过15日的，甲方</w:t>
      </w:r>
      <w:r>
        <w:rPr>
          <w:rFonts w:hint="eastAsia" w:ascii="仿宋" w:hAnsi="仿宋" w:eastAsia="仿宋" w:cs="Times New Roman"/>
          <w:color w:val="auto"/>
          <w:kern w:val="0"/>
          <w:sz w:val="24"/>
          <w:szCs w:val="24"/>
          <w:lang w:val="en-US" w:eastAsia="zh-CN"/>
        </w:rPr>
        <w:t>有权</w:t>
      </w:r>
      <w:r>
        <w:rPr>
          <w:rFonts w:hint="eastAsia" w:ascii="仿宋" w:hAnsi="仿宋" w:eastAsia="仿宋" w:cs="Times New Roman"/>
          <w:color w:val="auto"/>
          <w:kern w:val="0"/>
          <w:sz w:val="24"/>
          <w:szCs w:val="24"/>
        </w:rPr>
        <w:t>单方面解除本合同，乙方除退还甲方已支付全部费用外还应按照合同总价的20%向甲方支付违约金。违约金不足以弥补损失的，乙方应予以补足</w:t>
      </w:r>
      <w:r>
        <w:rPr>
          <w:rFonts w:hint="eastAsia" w:ascii="仿宋" w:hAnsi="仿宋" w:eastAsia="仿宋" w:cs="Times New Roman"/>
          <w:color w:val="auto"/>
          <w:kern w:val="0"/>
          <w:sz w:val="24"/>
          <w:szCs w:val="24"/>
          <w:lang w:val="en-US" w:eastAsia="zh-CN"/>
        </w:rPr>
        <w:t>损失</w:t>
      </w:r>
      <w:r>
        <w:rPr>
          <w:rFonts w:hint="eastAsia" w:ascii="仿宋" w:hAnsi="仿宋" w:eastAsia="仿宋" w:cs="Times New Roman"/>
          <w:color w:val="auto"/>
          <w:kern w:val="0"/>
          <w:sz w:val="24"/>
          <w:szCs w:val="24"/>
        </w:rPr>
        <w:t>。</w:t>
      </w:r>
    </w:p>
    <w:p w14:paraId="717FB423">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rPr>
        <w:t>十</w:t>
      </w:r>
      <w:r>
        <w:rPr>
          <w:rFonts w:hint="eastAsia" w:ascii="仿宋" w:hAnsi="仿宋" w:eastAsia="仿宋" w:cs="Times New Roman"/>
          <w:b/>
          <w:bCs/>
          <w:color w:val="auto"/>
          <w:kern w:val="0"/>
          <w:sz w:val="24"/>
          <w:szCs w:val="24"/>
          <w:lang w:val="en-US" w:eastAsia="zh-CN"/>
        </w:rPr>
        <w:t>一</w:t>
      </w:r>
      <w:r>
        <w:rPr>
          <w:rFonts w:hint="eastAsia" w:ascii="仿宋" w:hAnsi="仿宋" w:eastAsia="仿宋" w:cs="Times New Roman"/>
          <w:b/>
          <w:bCs/>
          <w:color w:val="auto"/>
          <w:kern w:val="0"/>
          <w:sz w:val="24"/>
          <w:szCs w:val="24"/>
        </w:rPr>
        <w:t>、验收</w:t>
      </w:r>
    </w:p>
    <w:p w14:paraId="3B34E0D3">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1</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产品到达甲方指定地点后，甲方根据合同约定，对产品进行外观验收、确认产品的产地、规格、型号和数量。</w:t>
      </w:r>
    </w:p>
    <w:p w14:paraId="57852377">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2</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产品安装、调试并正常运行后，由乙方进行自检合格后，准备验收文件，并书面通知甲方；</w:t>
      </w:r>
    </w:p>
    <w:p w14:paraId="011FF51F">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3</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甲方确认乙方的自检内容后（必要时请有关专家）进行验收，填写项目验收单，作为对设备的最终认可；</w:t>
      </w:r>
    </w:p>
    <w:p w14:paraId="22FA81A0">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4</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乙方向甲方提交设备实施过程中的所有资料，以便甲方日后管理和维护。</w:t>
      </w:r>
    </w:p>
    <w:p w14:paraId="05B42BC6">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5</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验收依据：</w:t>
      </w:r>
    </w:p>
    <w:p w14:paraId="41BBA98F">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5</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1</w:t>
      </w:r>
      <w:r>
        <w:rPr>
          <w:rFonts w:hint="eastAsia" w:ascii="仿宋" w:hAnsi="仿宋" w:eastAsia="仿宋" w:cs="Times New Roman"/>
          <w:color w:val="auto"/>
          <w:kern w:val="0"/>
          <w:sz w:val="24"/>
          <w:szCs w:val="24"/>
          <w:lang w:val="en-US" w:eastAsia="zh-CN"/>
        </w:rPr>
        <w:t>竞争性磋商</w:t>
      </w:r>
      <w:r>
        <w:rPr>
          <w:rFonts w:hint="eastAsia" w:ascii="仿宋" w:hAnsi="仿宋" w:eastAsia="仿宋" w:cs="Times New Roman"/>
          <w:color w:val="auto"/>
          <w:kern w:val="0"/>
          <w:sz w:val="24"/>
          <w:szCs w:val="24"/>
        </w:rPr>
        <w:t>文件、</w:t>
      </w:r>
      <w:r>
        <w:rPr>
          <w:rFonts w:hint="eastAsia" w:ascii="仿宋" w:hAnsi="仿宋" w:eastAsia="仿宋" w:cs="Times New Roman"/>
          <w:color w:val="auto"/>
          <w:kern w:val="0"/>
          <w:sz w:val="24"/>
          <w:szCs w:val="24"/>
          <w:lang w:val="en-US" w:eastAsia="zh-CN"/>
        </w:rPr>
        <w:t>响应</w:t>
      </w:r>
      <w:r>
        <w:rPr>
          <w:rFonts w:hint="eastAsia" w:ascii="仿宋" w:hAnsi="仿宋" w:eastAsia="仿宋" w:cs="Times New Roman"/>
          <w:color w:val="auto"/>
          <w:kern w:val="0"/>
          <w:sz w:val="24"/>
          <w:szCs w:val="24"/>
        </w:rPr>
        <w:t>文件、澄清表（函）；</w:t>
      </w:r>
    </w:p>
    <w:p w14:paraId="64237B67">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5</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2本合同及附件文本；</w:t>
      </w:r>
    </w:p>
    <w:p w14:paraId="2C5FA1AD">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rPr>
        <w:t>十</w:t>
      </w:r>
      <w:r>
        <w:rPr>
          <w:rFonts w:hint="eastAsia" w:ascii="仿宋" w:hAnsi="仿宋" w:eastAsia="仿宋" w:cs="Times New Roman"/>
          <w:b/>
          <w:bCs/>
          <w:color w:val="auto"/>
          <w:kern w:val="0"/>
          <w:sz w:val="24"/>
          <w:szCs w:val="24"/>
          <w:lang w:val="en-US" w:eastAsia="zh-CN"/>
        </w:rPr>
        <w:t>二</w:t>
      </w:r>
      <w:r>
        <w:rPr>
          <w:rFonts w:hint="eastAsia" w:ascii="仿宋" w:hAnsi="仿宋" w:eastAsia="仿宋" w:cs="Times New Roman"/>
          <w:b/>
          <w:bCs/>
          <w:color w:val="auto"/>
          <w:kern w:val="0"/>
          <w:sz w:val="24"/>
          <w:szCs w:val="24"/>
        </w:rPr>
        <w:t>、合同争议解决的方式</w:t>
      </w:r>
    </w:p>
    <w:p w14:paraId="2635732C">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本合同在履行过程中发生的争议，由甲、乙方当事人协商解决；也可由当地工商行政管理部门调解；协商或调解不成的按以下第2种方式解决；</w:t>
      </w:r>
    </w:p>
    <w:p w14:paraId="0F3C0F09">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1</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提交</w:t>
      </w:r>
      <w:r>
        <w:rPr>
          <w:rFonts w:hint="eastAsia" w:ascii="仿宋" w:hAnsi="仿宋" w:eastAsia="仿宋" w:cs="Times New Roman"/>
          <w:color w:val="auto"/>
          <w:kern w:val="0"/>
          <w:sz w:val="24"/>
          <w:szCs w:val="24"/>
          <w:u w:val="single"/>
          <w:lang w:val="en-US" w:eastAsia="zh-CN"/>
        </w:rPr>
        <w:t xml:space="preserve">     </w:t>
      </w:r>
      <w:r>
        <w:rPr>
          <w:rFonts w:hint="eastAsia" w:ascii="仿宋" w:hAnsi="仿宋" w:eastAsia="仿宋" w:cs="Times New Roman"/>
          <w:color w:val="auto"/>
          <w:kern w:val="0"/>
          <w:sz w:val="24"/>
          <w:szCs w:val="24"/>
        </w:rPr>
        <w:t>仲裁委员会仲裁；</w:t>
      </w:r>
    </w:p>
    <w:p w14:paraId="04CFB22E">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2</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依法向甲方所在地人民法院起诉。</w:t>
      </w:r>
    </w:p>
    <w:p w14:paraId="7C9F7DF8">
      <w:pPr>
        <w:spacing w:line="360" w:lineRule="auto"/>
        <w:ind w:firstLine="482" w:firstLineChars="200"/>
        <w:rPr>
          <w:rFonts w:hint="eastAsia" w:ascii="仿宋" w:hAnsi="仿宋" w:eastAsia="仿宋" w:cs="Times New Roman"/>
          <w:b/>
          <w:bCs/>
          <w:color w:val="auto"/>
          <w:kern w:val="0"/>
          <w:sz w:val="24"/>
          <w:szCs w:val="24"/>
        </w:rPr>
      </w:pPr>
      <w:r>
        <w:rPr>
          <w:rFonts w:hint="eastAsia" w:ascii="仿宋" w:hAnsi="仿宋" w:eastAsia="仿宋" w:cs="Times New Roman"/>
          <w:b/>
          <w:bCs/>
          <w:color w:val="auto"/>
          <w:kern w:val="0"/>
          <w:sz w:val="24"/>
          <w:szCs w:val="24"/>
        </w:rPr>
        <w:t>十</w:t>
      </w:r>
      <w:r>
        <w:rPr>
          <w:rFonts w:hint="eastAsia" w:ascii="仿宋" w:hAnsi="仿宋" w:eastAsia="仿宋" w:cs="Times New Roman"/>
          <w:b/>
          <w:bCs/>
          <w:color w:val="auto"/>
          <w:kern w:val="0"/>
          <w:sz w:val="24"/>
          <w:szCs w:val="24"/>
          <w:lang w:val="en-US" w:eastAsia="zh-CN"/>
        </w:rPr>
        <w:t>三</w:t>
      </w:r>
      <w:r>
        <w:rPr>
          <w:rFonts w:hint="eastAsia" w:ascii="仿宋" w:hAnsi="仿宋" w:eastAsia="仿宋" w:cs="Times New Roman"/>
          <w:b/>
          <w:bCs/>
          <w:color w:val="auto"/>
          <w:kern w:val="0"/>
          <w:sz w:val="24"/>
          <w:szCs w:val="24"/>
        </w:rPr>
        <w:t>、其他事项</w:t>
      </w:r>
    </w:p>
    <w:p w14:paraId="38242E8E">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1</w:t>
      </w:r>
      <w:r>
        <w:rPr>
          <w:rFonts w:hint="eastAsia" w:ascii="仿宋" w:hAnsi="仿宋" w:eastAsia="仿宋" w:cs="Times New Roman"/>
          <w:color w:val="auto"/>
          <w:kern w:val="0"/>
          <w:sz w:val="24"/>
          <w:szCs w:val="24"/>
          <w:lang w:val="en-US" w:eastAsia="zh-CN"/>
        </w:rPr>
        <w:t>.磋商</w:t>
      </w:r>
      <w:r>
        <w:rPr>
          <w:rFonts w:hint="eastAsia" w:ascii="仿宋" w:hAnsi="仿宋" w:eastAsia="仿宋" w:cs="Times New Roman"/>
          <w:color w:val="auto"/>
          <w:kern w:val="0"/>
          <w:sz w:val="24"/>
          <w:szCs w:val="24"/>
        </w:rPr>
        <w:t>文件、</w:t>
      </w:r>
      <w:r>
        <w:rPr>
          <w:rFonts w:hint="eastAsia" w:ascii="仿宋" w:hAnsi="仿宋" w:eastAsia="仿宋" w:cs="Times New Roman"/>
          <w:color w:val="auto"/>
          <w:kern w:val="0"/>
          <w:sz w:val="24"/>
          <w:szCs w:val="24"/>
          <w:lang w:val="en-US" w:eastAsia="zh-CN"/>
        </w:rPr>
        <w:t>响应</w:t>
      </w:r>
      <w:r>
        <w:rPr>
          <w:rFonts w:hint="eastAsia" w:ascii="仿宋" w:hAnsi="仿宋" w:eastAsia="仿宋" w:cs="Times New Roman"/>
          <w:color w:val="auto"/>
          <w:kern w:val="0"/>
          <w:sz w:val="24"/>
          <w:szCs w:val="24"/>
        </w:rPr>
        <w:t>文件、澄清表（函）、合同附件均成为合同不可分割的部分。</w:t>
      </w:r>
    </w:p>
    <w:p w14:paraId="5FCBEBCA">
      <w:pPr>
        <w:spacing w:line="360" w:lineRule="auto"/>
        <w:ind w:firstLine="480" w:firstLineChars="2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2</w:t>
      </w:r>
      <w:r>
        <w:rPr>
          <w:rFonts w:hint="eastAsia" w:ascii="仿宋" w:hAnsi="仿宋" w:eastAsia="仿宋" w:cs="Times New Roman"/>
          <w:color w:val="auto"/>
          <w:kern w:val="0"/>
          <w:sz w:val="24"/>
          <w:szCs w:val="24"/>
          <w:lang w:val="en-US" w:eastAsia="zh-CN"/>
        </w:rPr>
        <w:t>.</w:t>
      </w:r>
      <w:r>
        <w:rPr>
          <w:rFonts w:hint="eastAsia" w:ascii="仿宋" w:hAnsi="仿宋" w:eastAsia="仿宋" w:cs="Times New Roman"/>
          <w:color w:val="auto"/>
          <w:kern w:val="0"/>
          <w:sz w:val="24"/>
          <w:szCs w:val="24"/>
        </w:rPr>
        <w:t>合同未尽事宜，由甲、乙双方协商，另行签订补充合同，为本合同有效组成部分。</w:t>
      </w:r>
    </w:p>
    <w:p w14:paraId="01D22AA3">
      <w:pPr>
        <w:spacing w:line="360" w:lineRule="auto"/>
        <w:ind w:firstLine="360" w:firstLineChars="15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本合同一式</w:t>
      </w:r>
      <w:r>
        <w:rPr>
          <w:rFonts w:hint="eastAsia" w:ascii="仿宋" w:hAnsi="仿宋" w:eastAsia="仿宋" w:cs="Times New Roman"/>
          <w:color w:val="auto"/>
          <w:kern w:val="0"/>
          <w:sz w:val="24"/>
          <w:szCs w:val="24"/>
          <w:u w:val="single"/>
          <w:lang w:val="en-US" w:eastAsia="zh-CN"/>
        </w:rPr>
        <w:t xml:space="preserve">   </w:t>
      </w:r>
      <w:r>
        <w:rPr>
          <w:rFonts w:hint="eastAsia" w:ascii="仿宋" w:hAnsi="仿宋" w:eastAsia="仿宋" w:cs="Times New Roman"/>
          <w:color w:val="auto"/>
          <w:kern w:val="0"/>
          <w:sz w:val="24"/>
          <w:szCs w:val="24"/>
        </w:rPr>
        <w:t>份，甲方、乙方各执</w:t>
      </w:r>
      <w:r>
        <w:rPr>
          <w:rFonts w:hint="eastAsia" w:ascii="仿宋" w:hAnsi="仿宋" w:eastAsia="仿宋" w:cs="Times New Roman"/>
          <w:color w:val="auto"/>
          <w:kern w:val="0"/>
          <w:sz w:val="24"/>
          <w:szCs w:val="24"/>
          <w:u w:val="single"/>
          <w:lang w:val="en-US" w:eastAsia="zh-CN"/>
        </w:rPr>
        <w:t xml:space="preserve">   </w:t>
      </w:r>
      <w:r>
        <w:rPr>
          <w:rFonts w:hint="eastAsia" w:ascii="仿宋" w:hAnsi="仿宋" w:eastAsia="仿宋" w:cs="Times New Roman"/>
          <w:color w:val="auto"/>
          <w:kern w:val="0"/>
          <w:sz w:val="24"/>
          <w:szCs w:val="24"/>
        </w:rPr>
        <w:t>份，乙方合同签订完毕送壹份至招标代理机构备案。各方签字盖章后生效，合同执行完毕自动终止。（合同的服务承诺则长期有效）。</w:t>
      </w:r>
    </w:p>
    <w:p w14:paraId="53644CA9">
      <w:pPr>
        <w:spacing w:line="360" w:lineRule="auto"/>
        <w:rPr>
          <w:rFonts w:ascii="宋体" w:hAnsi="Times New Roman" w:eastAsia="宋体" w:cs="Times New Roman"/>
          <w:color w:val="auto"/>
          <w:kern w:val="0"/>
          <w:sz w:val="24"/>
          <w:szCs w:val="24"/>
        </w:rPr>
      </w:pPr>
      <w:r>
        <w:rPr>
          <w:rFonts w:hint="eastAsia" w:ascii="宋体" w:hAnsi="Times New Roman" w:eastAsia="宋体" w:cs="Times New Roman"/>
          <w:color w:val="auto"/>
          <w:kern w:val="0"/>
          <w:sz w:val="24"/>
          <w:szCs w:val="24"/>
        </w:rPr>
        <w:t xml:space="preserve"> </w:t>
      </w:r>
    </w:p>
    <w:p w14:paraId="5BCA6391">
      <w:pPr>
        <w:spacing w:line="324" w:lineRule="auto"/>
        <w:rPr>
          <w:rFonts w:hint="eastAsia" w:ascii="仿宋" w:hAnsi="仿宋" w:eastAsia="仿宋" w:cs="Times New Roman"/>
          <w:color w:val="auto"/>
          <w:kern w:val="0"/>
          <w:sz w:val="24"/>
          <w:szCs w:val="24"/>
        </w:rPr>
      </w:pPr>
    </w:p>
    <w:p w14:paraId="2852A27A">
      <w:pPr>
        <w:spacing w:line="324" w:lineRule="auto"/>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 xml:space="preserve">甲      方：                         乙      方：                     </w:t>
      </w:r>
    </w:p>
    <w:p w14:paraId="79E6354F">
      <w:pPr>
        <w:spacing w:line="360" w:lineRule="auto"/>
        <w:ind w:left="5950" w:leftChars="29" w:hanging="5880" w:hangingChars="245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 xml:space="preserve">地      址：                         地      址：                      </w:t>
      </w:r>
    </w:p>
    <w:p w14:paraId="348E77DB">
      <w:pPr>
        <w:spacing w:line="360" w:lineRule="auto"/>
        <w:ind w:firstLine="1440" w:firstLineChars="600"/>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 xml:space="preserve"> </w:t>
      </w:r>
    </w:p>
    <w:p w14:paraId="267D09CB">
      <w:pPr>
        <w:spacing w:line="360" w:lineRule="auto"/>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法定代表人：                           法定代表人：</w:t>
      </w:r>
    </w:p>
    <w:p w14:paraId="35CCA5E2">
      <w:pPr>
        <w:spacing w:line="360" w:lineRule="auto"/>
        <w:rPr>
          <w:rFonts w:hint="eastAsia" w:ascii="仿宋" w:hAnsi="仿宋" w:eastAsia="仿宋" w:cs="Times New Roman"/>
          <w:color w:val="auto"/>
          <w:kern w:val="0"/>
          <w:sz w:val="24"/>
          <w:szCs w:val="24"/>
        </w:rPr>
      </w:pPr>
      <w:r>
        <w:rPr>
          <w:rFonts w:hint="eastAsia" w:ascii="仿宋" w:hAnsi="仿宋" w:eastAsia="仿宋" w:cs="Times New Roman"/>
          <w:color w:val="auto"/>
          <w:kern w:val="0"/>
          <w:sz w:val="24"/>
          <w:szCs w:val="24"/>
        </w:rPr>
        <w:t>委托代理人：                           委托代理人：</w:t>
      </w:r>
    </w:p>
    <w:p w14:paraId="71E81527">
      <w:pPr>
        <w:spacing w:line="360" w:lineRule="auto"/>
        <w:rPr>
          <w:rFonts w:hint="eastAsia" w:ascii="仿宋" w:hAnsi="仿宋" w:eastAsia="仿宋" w:cs="Times New Roman"/>
          <w:color w:val="auto"/>
          <w:spacing w:val="-10"/>
          <w:kern w:val="0"/>
          <w:sz w:val="24"/>
          <w:szCs w:val="24"/>
        </w:rPr>
      </w:pPr>
      <w:r>
        <w:rPr>
          <w:rFonts w:hint="eastAsia" w:ascii="仿宋" w:hAnsi="仿宋" w:eastAsia="仿宋" w:cs="Times New Roman"/>
          <w:color w:val="auto"/>
          <w:spacing w:val="-10"/>
          <w:kern w:val="0"/>
          <w:sz w:val="24"/>
          <w:szCs w:val="24"/>
        </w:rPr>
        <w:t>联 系 电 话</w:t>
      </w:r>
      <w:r>
        <w:rPr>
          <w:rFonts w:hint="eastAsia" w:ascii="仿宋" w:hAnsi="仿宋" w:eastAsia="仿宋" w:cs="Times New Roman"/>
          <w:color w:val="auto"/>
          <w:kern w:val="0"/>
          <w:sz w:val="24"/>
          <w:szCs w:val="24"/>
        </w:rPr>
        <w:t xml:space="preserve">：                           </w:t>
      </w:r>
      <w:r>
        <w:rPr>
          <w:rFonts w:hint="eastAsia" w:ascii="仿宋" w:hAnsi="仿宋" w:eastAsia="仿宋" w:cs="Times New Roman"/>
          <w:color w:val="auto"/>
          <w:spacing w:val="-10"/>
          <w:kern w:val="0"/>
          <w:sz w:val="24"/>
          <w:szCs w:val="24"/>
        </w:rPr>
        <w:t>联 系 电 话</w:t>
      </w:r>
      <w:r>
        <w:rPr>
          <w:rFonts w:hint="eastAsia" w:ascii="仿宋" w:hAnsi="仿宋" w:eastAsia="仿宋" w:cs="Times New Roman"/>
          <w:color w:val="auto"/>
          <w:kern w:val="0"/>
          <w:sz w:val="24"/>
          <w:szCs w:val="24"/>
        </w:rPr>
        <w:t xml:space="preserve">：                    </w:t>
      </w:r>
    </w:p>
    <w:p w14:paraId="714C4402">
      <w:pPr>
        <w:spacing w:line="360" w:lineRule="auto"/>
        <w:rPr>
          <w:rFonts w:hint="eastAsia" w:ascii="宋体" w:hAnsi="宋体" w:eastAsia="宋体" w:cs="Times New Roman"/>
          <w:b/>
          <w:bCs/>
          <w:color w:val="auto"/>
          <w:kern w:val="0"/>
          <w:sz w:val="24"/>
          <w:szCs w:val="24"/>
        </w:rPr>
      </w:pPr>
      <w:r>
        <w:rPr>
          <w:rFonts w:hint="eastAsia" w:ascii="仿宋" w:hAnsi="仿宋" w:eastAsia="仿宋" w:cs="Times New Roman"/>
          <w:color w:val="auto"/>
          <w:spacing w:val="-10"/>
          <w:kern w:val="0"/>
          <w:sz w:val="24"/>
          <w:szCs w:val="24"/>
        </w:rPr>
        <w:t>签 订 日 期：                                 签 订 日 期：</w:t>
      </w:r>
      <w:r>
        <w:rPr>
          <w:rFonts w:hint="eastAsia" w:ascii="宋体" w:hAnsi="宋体" w:eastAsia="宋体" w:cs="Times New Roman"/>
          <w:color w:val="auto"/>
          <w:kern w:val="0"/>
          <w:sz w:val="24"/>
          <w:szCs w:val="24"/>
        </w:rPr>
        <w:t xml:space="preserve"> </w:t>
      </w:r>
      <w:r>
        <w:rPr>
          <w:rFonts w:hint="eastAsia" w:ascii="宋体" w:hAnsi="宋体" w:eastAsia="宋体" w:cs="Times New Roman"/>
          <w:b/>
          <w:bCs/>
          <w:color w:val="auto"/>
          <w:kern w:val="0"/>
          <w:sz w:val="24"/>
          <w:szCs w:val="24"/>
        </w:rPr>
        <w:t xml:space="preserve"> </w:t>
      </w:r>
    </w:p>
    <w:p w14:paraId="3271F0A3">
      <w:pPr>
        <w:spacing w:line="240" w:lineRule="auto"/>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zMmFhOWIzZThhZDA5YTFlNjNhZjYyMDk5OWUzOGQifQ=="/>
  </w:docVars>
  <w:rsids>
    <w:rsidRoot w:val="00000000"/>
    <w:rsid w:val="00125237"/>
    <w:rsid w:val="05E5742D"/>
    <w:rsid w:val="068766B9"/>
    <w:rsid w:val="08A75169"/>
    <w:rsid w:val="0E0E69D0"/>
    <w:rsid w:val="11CC5D32"/>
    <w:rsid w:val="146D0E60"/>
    <w:rsid w:val="175A3723"/>
    <w:rsid w:val="1AC22ED4"/>
    <w:rsid w:val="1C1B6428"/>
    <w:rsid w:val="1EEB1EAF"/>
    <w:rsid w:val="211B1C44"/>
    <w:rsid w:val="24521E21"/>
    <w:rsid w:val="24D46A8A"/>
    <w:rsid w:val="26153106"/>
    <w:rsid w:val="2C3E0E32"/>
    <w:rsid w:val="32F435DC"/>
    <w:rsid w:val="369E2844"/>
    <w:rsid w:val="38402264"/>
    <w:rsid w:val="585E52A9"/>
    <w:rsid w:val="610A53B4"/>
    <w:rsid w:val="6241157C"/>
    <w:rsid w:val="62F864B8"/>
    <w:rsid w:val="65315F2C"/>
    <w:rsid w:val="6A8D40E1"/>
    <w:rsid w:val="781B5F00"/>
    <w:rsid w:val="7DD9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next w:val="1"/>
    <w:qFormat/>
    <w:uiPriority w:val="0"/>
    <w:pPr>
      <w:keepNext/>
      <w:widowControl w:val="0"/>
      <w:jc w:val="both"/>
      <w:outlineLvl w:val="0"/>
    </w:pPr>
    <w:rPr>
      <w:rFonts w:ascii="仿宋_GB2312" w:hAnsi="宋体" w:eastAsia="仿宋_GB2312" w:cs="Times New Roman"/>
      <w:b/>
      <w:kern w:val="2"/>
      <w:sz w:val="3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3232</Words>
  <Characters>3316</Characters>
  <Lines>0</Lines>
  <Paragraphs>0</Paragraphs>
  <TotalTime>2</TotalTime>
  <ScaleCrop>false</ScaleCrop>
  <LinksUpToDate>false</LinksUpToDate>
  <CharactersWithSpaces>3726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2024-10-28T02:58:00Z</dcterms:created>
  <dc:creator>HAOYOU</dc:creator>
  <cp:lastModifiedBy>123</cp:lastModifiedBy>
  <dcterms:modified xsi:type="dcterms:W3CDTF">2025-03-18T08:32:32Z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042E206AB7204474B8CC493DE3A6C2E8_13</vt:lpwstr>
  </property>
  <property fmtid="{D5CDD505-2E9C-101B-9397-08002B2CF9AE}" pid="4" name="KSOTemplateDocerSaveRecord">
    <vt:lpwstr>eyJoZGlkIjoiMjE2OTk4OWJkMjBiYTAyZjY0NjdmMWI1ZjBmOWVmYzEiLCJ1c2VySWQiOiIxNTI3NjExNTk1In0=</vt:lpwstr>
  </property>
</Properties>
</file>