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86557">
      <w:pPr>
        <w:pStyle w:val="4"/>
        <w:jc w:val="center"/>
        <w:outlineLvl w:val="0"/>
        <w:rPr>
          <w:rFonts w:hint="eastAsia" w:ascii="宋体" w:hAnsi="宋体" w:eastAsia="宋体" w:cs="宋体"/>
          <w:color w:val="000000"/>
          <w:sz w:val="44"/>
          <w:szCs w:val="44"/>
          <w:highlight w:val="none"/>
        </w:rPr>
      </w:pPr>
      <w:bookmarkStart w:id="52" w:name="_GoBack"/>
      <w:bookmarkEnd w:id="52"/>
      <w:r>
        <w:rPr>
          <w:rFonts w:hint="eastAsia" w:ascii="宋体" w:hAnsi="宋体" w:eastAsia="宋体" w:cs="宋体"/>
          <w:color w:val="000000"/>
          <w:sz w:val="44"/>
          <w:szCs w:val="44"/>
          <w:highlight w:val="none"/>
        </w:rPr>
        <w:t>政府采购合同格式</w:t>
      </w:r>
    </w:p>
    <w:p w14:paraId="4BF776BB">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合同编号： </w:t>
      </w:r>
    </w:p>
    <w:p w14:paraId="29FCF1FA">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签订地点： </w:t>
      </w:r>
    </w:p>
    <w:p w14:paraId="3BB81E06">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签订时间:</w:t>
      </w:r>
    </w:p>
    <w:p w14:paraId="0C659DB8">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采购人（甲方）：</w:t>
      </w:r>
    </w:p>
    <w:p w14:paraId="0257752F">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lang w:val="en-US" w:eastAsia="zh-CN"/>
        </w:rPr>
        <w:t>供应商</w:t>
      </w:r>
      <w:r>
        <w:rPr>
          <w:rFonts w:hint="eastAsia"/>
          <w:color w:val="000000"/>
          <w:sz w:val="21"/>
          <w:szCs w:val="21"/>
          <w:highlight w:val="none"/>
        </w:rPr>
        <w:t>（乙方）：</w:t>
      </w:r>
    </w:p>
    <w:p w14:paraId="5410345A">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根据《中华人民共和国政府采购法》及实施条例、《中华人民共和国</w:t>
      </w:r>
      <w:r>
        <w:rPr>
          <w:rFonts w:hint="eastAsia"/>
          <w:color w:val="000000"/>
          <w:sz w:val="21"/>
          <w:szCs w:val="21"/>
          <w:highlight w:val="none"/>
          <w:lang w:eastAsia="zh-CN"/>
        </w:rPr>
        <w:t>民法典</w:t>
      </w:r>
      <w:r>
        <w:rPr>
          <w:rFonts w:hint="eastAsia"/>
          <w:color w:val="000000"/>
          <w:sz w:val="21"/>
          <w:szCs w:val="21"/>
          <w:highlight w:val="none"/>
        </w:rPr>
        <w:t>》和甲方</w:t>
      </w:r>
      <w:r>
        <w:rPr>
          <w:rFonts w:hint="eastAsia"/>
          <w:color w:val="000000"/>
          <w:sz w:val="21"/>
          <w:szCs w:val="21"/>
          <w:highlight w:val="none"/>
          <w:u w:val="single"/>
        </w:rPr>
        <w:t xml:space="preserve">                </w:t>
      </w:r>
      <w:r>
        <w:rPr>
          <w:rFonts w:hint="eastAsia"/>
          <w:color w:val="000000"/>
          <w:sz w:val="21"/>
          <w:szCs w:val="21"/>
          <w:highlight w:val="none"/>
        </w:rPr>
        <w:t>采购项目（采购项目编号：</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eastAsia"/>
          <w:color w:val="000000"/>
          <w:sz w:val="21"/>
          <w:szCs w:val="21"/>
          <w:highlight w:val="none"/>
          <w:u w:val="single"/>
        </w:rPr>
        <w:t xml:space="preserve">      </w:t>
      </w:r>
      <w:r>
        <w:rPr>
          <w:rFonts w:hint="eastAsia"/>
          <w:color w:val="000000"/>
          <w:sz w:val="21"/>
          <w:szCs w:val="21"/>
          <w:highlight w:val="none"/>
        </w:rPr>
        <w:t>）的招标文件、投标文件等有关规定，为确保甲方采购项目的顺利实施，甲、乙双方在平等自愿原则下签订本合同，并共同遵守如下条款：</w:t>
      </w:r>
    </w:p>
    <w:p w14:paraId="3BE6170B">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第一条  项目基本情况</w:t>
      </w:r>
    </w:p>
    <w:p w14:paraId="1A71F801">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lang w:eastAsia="zh-CN"/>
        </w:rPr>
        <w:t>本项目采购人为西安市碑林区残疾人劳动就业服务中心，负责2025年残疾人居家安养服务，本项目所属行业为其他未列明行业。</w:t>
      </w:r>
    </w:p>
    <w:p w14:paraId="7B097896">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eastAsia="宋体"/>
          <w:b/>
          <w:bCs/>
          <w:color w:val="000000"/>
          <w:sz w:val="21"/>
          <w:szCs w:val="21"/>
          <w:highlight w:val="none"/>
          <w:lang w:eastAsia="zh-CN"/>
        </w:rPr>
      </w:pPr>
      <w:r>
        <w:rPr>
          <w:rFonts w:hint="eastAsia"/>
          <w:b/>
          <w:bCs/>
          <w:color w:val="000000"/>
          <w:sz w:val="21"/>
          <w:szCs w:val="21"/>
          <w:highlight w:val="none"/>
        </w:rPr>
        <w:t xml:space="preserve">第二条  </w:t>
      </w:r>
      <w:r>
        <w:rPr>
          <w:rFonts w:hint="eastAsia"/>
          <w:b/>
          <w:bCs/>
          <w:color w:val="000000"/>
          <w:sz w:val="21"/>
          <w:szCs w:val="21"/>
          <w:highlight w:val="none"/>
          <w:lang w:eastAsia="zh-CN"/>
        </w:rPr>
        <w:t>服务期限</w:t>
      </w:r>
      <w:r>
        <w:rPr>
          <w:rFonts w:hint="eastAsia"/>
          <w:b/>
          <w:bCs/>
          <w:color w:val="000000"/>
          <w:sz w:val="21"/>
          <w:szCs w:val="21"/>
          <w:highlight w:val="none"/>
        </w:rPr>
        <w:t>：</w:t>
      </w:r>
      <w:r>
        <w:rPr>
          <w:rFonts w:hint="eastAsia" w:ascii="宋体" w:hAnsi="宋体" w:eastAsia="宋体"/>
          <w:b/>
          <w:bCs/>
          <w:color w:val="000000"/>
          <w:sz w:val="21"/>
          <w:szCs w:val="21"/>
          <w:highlight w:val="none"/>
        </w:rPr>
        <w:t xml:space="preserve"> 自合同签订之日起一年</w:t>
      </w:r>
    </w:p>
    <w:p w14:paraId="4B550AE7">
      <w:pPr>
        <w:pStyle w:val="3"/>
        <w:keepNext w:val="0"/>
        <w:keepLines w:val="0"/>
        <w:pageBreakBefore w:val="0"/>
        <w:numPr>
          <w:ilvl w:val="0"/>
          <w:numId w:val="1"/>
        </w:numPr>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bookmarkStart w:id="0" w:name="_Toc225244852"/>
      <w:bookmarkStart w:id="1" w:name="_Toc282696226"/>
      <w:bookmarkStart w:id="2" w:name="_Toc211854449"/>
      <w:bookmarkStart w:id="3" w:name="_Toc247334841"/>
      <w:bookmarkStart w:id="4" w:name="_Toc238984975"/>
      <w:bookmarkStart w:id="5" w:name="_Toc212019594"/>
      <w:bookmarkStart w:id="6" w:name="_Toc185395249"/>
      <w:bookmarkStart w:id="7" w:name="_Toc241833903"/>
      <w:bookmarkStart w:id="8" w:name="_Toc237145406"/>
      <w:bookmarkStart w:id="9" w:name="_Toc239568418"/>
      <w:bookmarkStart w:id="10" w:name="_Toc211911348"/>
      <w:bookmarkStart w:id="11" w:name="_Toc225654644"/>
      <w:bookmarkStart w:id="12" w:name="_Toc232492928"/>
      <w:bookmarkStart w:id="13" w:name="_Toc283019214"/>
      <w:bookmarkStart w:id="14" w:name="_Toc251768862"/>
      <w:bookmarkStart w:id="15" w:name="_Toc225670751"/>
      <w:bookmarkStart w:id="16" w:name="_Toc239233914"/>
      <w:bookmarkStart w:id="17" w:name="_Toc286993786"/>
      <w:r>
        <w:rPr>
          <w:rFonts w:hint="eastAsia"/>
          <w:b/>
          <w:bCs/>
          <w:color w:val="000000"/>
          <w:sz w:val="21"/>
          <w:szCs w:val="21"/>
          <w:highlight w:val="none"/>
        </w:rPr>
        <w:t xml:space="preserve"> 服务内容与质量标准</w:t>
      </w:r>
    </w:p>
    <w:p w14:paraId="36FB0A97">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val="en-US" w:eastAsia="zh-CN"/>
        </w:rPr>
        <w:t>1</w:t>
      </w:r>
      <w:r>
        <w:rPr>
          <w:rFonts w:hint="eastAsia" w:ascii="宋体" w:hAnsi="宋体"/>
          <w:color w:val="000000"/>
          <w:szCs w:val="21"/>
          <w:highlight w:val="none"/>
          <w:lang w:eastAsia="zh-CN"/>
        </w:rPr>
        <w:t>.服务人数及服务频率要求：</w:t>
      </w:r>
    </w:p>
    <w:p w14:paraId="1E338021">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本次预算共计可服务350人，每人每个月至少服务两次，每次不少于4个小时。</w:t>
      </w:r>
    </w:p>
    <w:p w14:paraId="08D369ED">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val="en-US" w:eastAsia="zh-CN"/>
        </w:rPr>
        <w:t>2</w:t>
      </w:r>
      <w:r>
        <w:rPr>
          <w:rFonts w:hint="eastAsia" w:ascii="宋体" w:hAnsi="宋体"/>
          <w:color w:val="000000"/>
          <w:szCs w:val="21"/>
          <w:highlight w:val="none"/>
          <w:lang w:eastAsia="zh-CN"/>
        </w:rPr>
        <w:t xml:space="preserve">.服务内容： </w:t>
      </w:r>
    </w:p>
    <w:p w14:paraId="033D3A8A">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（一）（生活照料和护理）按照服务对象或监护人的要求，提供以下服务：</w:t>
      </w:r>
    </w:p>
    <w:p w14:paraId="10087B10">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（1）协助服务对象整理家庭环境卫生；</w:t>
      </w:r>
    </w:p>
    <w:p w14:paraId="535FC0BE">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（2）协助服务对象整理个人卫生；</w:t>
      </w:r>
    </w:p>
    <w:p w14:paraId="7A6A7729">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（3）上门送餐或在服务对象家中协助准备膳食，有需要的可根据情况提供帮助进食服务；</w:t>
      </w:r>
    </w:p>
    <w:p w14:paraId="1EC56876">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（4）协助办理家庭日常事务；</w:t>
      </w:r>
    </w:p>
    <w:p w14:paraId="57902802">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（5）根据医嘱同意，可陪同在服务对象居住附近安全合理的地区进行户外活动；</w:t>
      </w:r>
    </w:p>
    <w:p w14:paraId="72A0ED99">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（6）其他合法、安全并经所在服务机构批准同意提供的服务。</w:t>
      </w:r>
    </w:p>
    <w:p w14:paraId="6C10760F">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（二）（社会适应能力辅导和运动功能训练）按照服务对象或监护人的要求，提供以下服务：</w:t>
      </w:r>
    </w:p>
    <w:p w14:paraId="5DC63CCE">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（1）指导并协助有需要的服务对象或其监护人正确使用配发的康复、保健仪器和辅助器械；</w:t>
      </w:r>
    </w:p>
    <w:p w14:paraId="43D73957">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（2）协助有需要的服务对象通过网络、电视、广播、报刊等多种方式了解新闻和文化知识；</w:t>
      </w:r>
    </w:p>
    <w:p w14:paraId="0D9ECAED">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（3）经常与服务对象进行交流，了解其心理特点，有需要进行心理干预的及时向其本人或监护人提出建议；</w:t>
      </w:r>
    </w:p>
    <w:p w14:paraId="38B3FA86">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（4）对有需求的服务对象提供简单的家务劳动训练和辅导；</w:t>
      </w:r>
    </w:p>
    <w:p w14:paraId="1602D415">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（5）对服务对象提供手工编织、绘画或其他适宜在家庭环境中进行的职业康复功能训练和辅导；</w:t>
      </w:r>
    </w:p>
    <w:p w14:paraId="585720CE">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（6）协助陪同服务对象参与与其身体状况相适应的文体活动及有益身心的公益活动；</w:t>
      </w:r>
    </w:p>
    <w:p w14:paraId="521C7916">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lang w:eastAsia="zh-CN"/>
        </w:rPr>
        <w:t xml:space="preserve">（7）其他合法、安全、力所能及并经所在服务机构批准同意提供的服务。 </w:t>
      </w:r>
    </w:p>
    <w:p w14:paraId="6C31BE44">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000000"/>
          <w:szCs w:val="21"/>
          <w:highlight w:val="none"/>
          <w:lang w:val="zh-CN" w:eastAsia="zh-CN"/>
        </w:rPr>
      </w:pPr>
      <w:r>
        <w:rPr>
          <w:rFonts w:hint="eastAsia" w:ascii="宋体" w:hAnsi="宋体"/>
          <w:color w:val="000000"/>
          <w:szCs w:val="21"/>
          <w:highlight w:val="none"/>
          <w:lang w:val="en-US" w:eastAsia="zh-CN"/>
        </w:rPr>
        <w:t>服务标准：</w:t>
      </w:r>
      <w:r>
        <w:rPr>
          <w:rFonts w:hint="eastAsia" w:ascii="宋体" w:hAnsi="宋体"/>
          <w:color w:val="000000"/>
          <w:szCs w:val="21"/>
          <w:highlight w:val="none"/>
          <w:lang w:val="zh-CN" w:eastAsia="zh-CN"/>
        </w:rPr>
        <w:t>按照磋商文件要求及有关规定的要求执行；在实施过程中，如果国家或有关部门颁布了新的技术标准或规范，则供应商应采用新的标准或规范进行实施。</w:t>
      </w:r>
    </w:p>
    <w:p w14:paraId="57448FBD">
      <w:pPr>
        <w:pStyle w:val="3"/>
        <w:keepNext w:val="0"/>
        <w:keepLines w:val="0"/>
        <w:pageBreakBefore w:val="0"/>
        <w:numPr>
          <w:ilvl w:val="0"/>
          <w:numId w:val="1"/>
        </w:numPr>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 xml:space="preserve"> 服务费用及支付方式</w:t>
      </w:r>
    </w:p>
    <w:p w14:paraId="047CC99A">
      <w:pPr>
        <w:keepNext w:val="0"/>
        <w:keepLines w:val="0"/>
        <w:pageBreakBefore w:val="0"/>
        <w:numPr>
          <w:ilvl w:val="0"/>
          <w:numId w:val="2"/>
        </w:numPr>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rFonts w:hint="eastAsia" w:ascii="宋体" w:hAnsi="宋体"/>
          <w:color w:val="auto"/>
          <w:szCs w:val="21"/>
          <w:highlight w:val="none"/>
          <w:lang w:val="zh-CN" w:eastAsia="zh-CN"/>
        </w:rPr>
        <w:t>本合同为固定总价合同，合同金额人民币（大写）：</w:t>
      </w:r>
      <w:r>
        <w:rPr>
          <w:rFonts w:hint="eastAsia" w:ascii="宋体" w:hAnsi="宋体"/>
          <w:color w:val="auto"/>
          <w:szCs w:val="21"/>
          <w:highlight w:val="none"/>
          <w:u w:val="single"/>
          <w:lang w:val="zh-CN" w:eastAsia="zh-CN"/>
        </w:rPr>
        <w:t xml:space="preserve">                 </w:t>
      </w:r>
      <w:r>
        <w:rPr>
          <w:rFonts w:hint="eastAsia" w:ascii="宋体" w:hAnsi="宋体"/>
          <w:color w:val="auto"/>
          <w:szCs w:val="21"/>
          <w:highlight w:val="none"/>
          <w:lang w:val="zh-CN" w:eastAsia="zh-CN"/>
        </w:rPr>
        <w:t xml:space="preserve">(小写¥ </w:t>
      </w:r>
      <w:r>
        <w:rPr>
          <w:rFonts w:hint="eastAsia" w:ascii="宋体" w:hAnsi="宋体"/>
          <w:color w:val="auto"/>
          <w:szCs w:val="21"/>
          <w:highlight w:val="none"/>
          <w:u w:val="single"/>
          <w:lang w:val="zh-CN" w:eastAsia="zh-CN"/>
        </w:rPr>
        <w:t xml:space="preserve">       </w:t>
      </w:r>
      <w:r>
        <w:rPr>
          <w:rFonts w:hint="eastAsia" w:ascii="宋体" w:hAnsi="宋体"/>
          <w:color w:val="auto"/>
          <w:szCs w:val="21"/>
          <w:highlight w:val="none"/>
          <w:lang w:val="zh-CN" w:eastAsia="zh-CN"/>
        </w:rPr>
        <w:t xml:space="preserve"> ) ；</w:t>
      </w:r>
    </w:p>
    <w:p w14:paraId="37010275">
      <w:pPr>
        <w:keepNext w:val="0"/>
        <w:keepLines w:val="0"/>
        <w:pageBreakBefore w:val="0"/>
        <w:numPr>
          <w:ilvl w:val="0"/>
          <w:numId w:val="2"/>
        </w:numPr>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color w:val="auto"/>
        </w:rPr>
        <w:t>合同金额即中标价，合同价格为含税价，乙方提供服务所发生的一切费用（包括人工费、设备费、管理费、利润、税金、风险及完成工作准备阶段、实施阶段、完成本项目所需的全部费用）</w:t>
      </w:r>
      <w:r>
        <w:rPr>
          <w:rFonts w:hint="eastAsia"/>
          <w:color w:val="auto"/>
        </w:rPr>
        <w:t>等都已包含于合同价款中</w:t>
      </w:r>
      <w:r>
        <w:rPr>
          <w:rFonts w:hint="eastAsia"/>
          <w:color w:val="auto"/>
          <w:lang w:eastAsia="zh-CN"/>
        </w:rPr>
        <w:t>；</w:t>
      </w:r>
    </w:p>
    <w:p w14:paraId="56CB2647">
      <w:pPr>
        <w:keepNext w:val="0"/>
        <w:keepLines w:val="0"/>
        <w:pageBreakBefore w:val="0"/>
        <w:numPr>
          <w:ilvl w:val="0"/>
          <w:numId w:val="2"/>
        </w:numPr>
        <w:kinsoku/>
        <w:wordWrap/>
        <w:overflowPunct/>
        <w:topLinePunct w:val="0"/>
        <w:autoSpaceDE/>
        <w:autoSpaceDN/>
        <w:bidi w:val="0"/>
        <w:adjustRightInd/>
        <w:spacing w:line="440" w:lineRule="exact"/>
        <w:ind w:firstLine="400" w:firstLineChars="200"/>
        <w:textAlignment w:val="auto"/>
        <w:rPr>
          <w:rFonts w:hint="eastAsia" w:ascii="宋体" w:hAnsi="宋体"/>
          <w:color w:val="auto"/>
          <w:szCs w:val="21"/>
          <w:highlight w:val="none"/>
          <w:lang w:val="zh-CN" w:eastAsia="zh-CN"/>
        </w:rPr>
      </w:pPr>
      <w:r>
        <w:rPr>
          <w:rFonts w:hint="eastAsia" w:ascii="宋体" w:hAnsi="宋体" w:eastAsia="宋体" w:cs="宋体"/>
          <w:bCs/>
          <w:color w:val="auto"/>
          <w:sz w:val="20"/>
          <w:szCs w:val="20"/>
          <w:highlight w:val="none"/>
        </w:rPr>
        <w:t>支付方式：</w:t>
      </w:r>
      <w:r>
        <w:rPr>
          <w:rFonts w:hint="eastAsia" w:ascii="宋体" w:hAnsi="宋体" w:eastAsia="宋体" w:cs="宋体"/>
          <w:bCs/>
          <w:color w:val="auto"/>
          <w:sz w:val="20"/>
          <w:szCs w:val="20"/>
          <w:highlight w:val="none"/>
          <w:lang w:val="en-US" w:eastAsia="zh-CN"/>
        </w:rPr>
        <w:t>分期</w:t>
      </w:r>
      <w:r>
        <w:rPr>
          <w:rFonts w:hint="eastAsia" w:ascii="宋体" w:hAnsi="宋体" w:eastAsia="宋体" w:cs="宋体"/>
          <w:bCs/>
          <w:color w:val="auto"/>
          <w:sz w:val="20"/>
          <w:szCs w:val="20"/>
          <w:highlight w:val="none"/>
        </w:rPr>
        <w:t>支付</w:t>
      </w:r>
      <w:r>
        <w:rPr>
          <w:rFonts w:hint="eastAsia" w:ascii="宋体" w:hAnsi="宋体" w:cs="宋体"/>
          <w:bCs/>
          <w:color w:val="auto"/>
          <w:sz w:val="20"/>
          <w:szCs w:val="20"/>
          <w:highlight w:val="none"/>
          <w:lang w:eastAsia="zh-CN"/>
        </w:rPr>
        <w:t>；</w:t>
      </w:r>
    </w:p>
    <w:p w14:paraId="662D94A2">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rFonts w:hint="eastAsia" w:ascii="宋体" w:hAnsi="宋体"/>
          <w:color w:val="auto"/>
          <w:szCs w:val="21"/>
          <w:highlight w:val="none"/>
          <w:lang w:val="en-US" w:eastAsia="zh-CN"/>
        </w:rPr>
        <w:t>4</w:t>
      </w:r>
      <w:r>
        <w:rPr>
          <w:rFonts w:hint="eastAsia" w:ascii="宋体" w:hAnsi="宋体"/>
          <w:color w:val="auto"/>
          <w:szCs w:val="21"/>
          <w:highlight w:val="none"/>
          <w:lang w:val="zh-CN" w:eastAsia="zh-CN"/>
        </w:rPr>
        <w:t>、服务费按下列比例支付价款：</w:t>
      </w:r>
    </w:p>
    <w:p w14:paraId="60E483E4">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olor w:val="auto"/>
          <w:szCs w:val="21"/>
          <w:highlight w:val="none"/>
          <w:lang w:val="en-US" w:eastAsia="zh-CN"/>
        </w:rPr>
      </w:pPr>
      <w:r>
        <w:rPr>
          <w:rFonts w:hint="eastAsia" w:ascii="宋体" w:hAnsi="宋体"/>
          <w:color w:val="auto"/>
          <w:szCs w:val="21"/>
          <w:highlight w:val="none"/>
          <w:lang w:val="zh-CN" w:eastAsia="zh-CN"/>
        </w:rPr>
        <w:t>本项目实行按月结算，次月支付上月服务费用，</w:t>
      </w:r>
      <w:r>
        <w:rPr>
          <w:color w:val="auto"/>
        </w:rPr>
        <w:t>乙方提供已完成项目数量清单及全额发票，甲方支付约定金额至乙方账户；累计支付金额不得超出预算</w:t>
      </w:r>
      <w:r>
        <w:rPr>
          <w:rFonts w:hint="eastAsia"/>
          <w:color w:val="auto"/>
          <w:lang w:eastAsia="zh-CN"/>
        </w:rPr>
        <w:t>，</w:t>
      </w:r>
      <w:r>
        <w:rPr>
          <w:color w:val="auto"/>
        </w:rPr>
        <w:t>达到付款条件起7日内</w:t>
      </w:r>
      <w:r>
        <w:rPr>
          <w:rFonts w:hint="eastAsia"/>
          <w:color w:val="auto"/>
          <w:lang w:val="en-US" w:eastAsia="zh-CN"/>
        </w:rPr>
        <w:t>支付；</w:t>
      </w:r>
    </w:p>
    <w:p w14:paraId="01C9C03D">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rFonts w:hint="eastAsia" w:ascii="宋体" w:hAnsi="宋体"/>
          <w:color w:val="auto"/>
          <w:szCs w:val="21"/>
          <w:highlight w:val="none"/>
          <w:lang w:val="en-US" w:eastAsia="zh-CN"/>
        </w:rPr>
        <w:t>4</w:t>
      </w:r>
      <w:r>
        <w:rPr>
          <w:rFonts w:hint="eastAsia" w:ascii="宋体" w:hAnsi="宋体"/>
          <w:color w:val="auto"/>
          <w:szCs w:val="21"/>
          <w:highlight w:val="none"/>
          <w:lang w:val="zh-CN" w:eastAsia="zh-CN"/>
        </w:rPr>
        <w:t>、乙方须向甲方出具合法有效的完税发票，甲方进行支付结算；</w:t>
      </w:r>
    </w:p>
    <w:p w14:paraId="1A452609">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rFonts w:hint="eastAsia" w:ascii="宋体" w:hAnsi="宋体"/>
          <w:color w:val="auto"/>
          <w:szCs w:val="21"/>
          <w:highlight w:val="none"/>
          <w:lang w:val="en-US" w:eastAsia="zh-CN"/>
        </w:rPr>
        <w:t>5</w:t>
      </w:r>
      <w:r>
        <w:rPr>
          <w:rFonts w:hint="eastAsia" w:ascii="宋体" w:hAnsi="宋体"/>
          <w:color w:val="auto"/>
          <w:szCs w:val="21"/>
          <w:highlight w:val="none"/>
          <w:lang w:val="zh-CN" w:eastAsia="zh-CN"/>
        </w:rPr>
        <w:t>、结算方式：银行转账。</w:t>
      </w:r>
    </w:p>
    <w:p w14:paraId="0A53EC38">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第五条   知识产权</w:t>
      </w:r>
    </w:p>
    <w:p w14:paraId="24FFB35A">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乙方应保证所提供的服务或其任何一部分均不会侵犯任何第三方的专利权、商标权或著作权。</w:t>
      </w:r>
    </w:p>
    <w:p w14:paraId="44B3C2BD">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第六条  无产权瑕疵条款</w:t>
      </w:r>
    </w:p>
    <w:p w14:paraId="32352CA8">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乙方保证所提供的服务的所有权完全属于乙方且无任何抵押、查封等产权瑕疵。如有产权瑕疵的，视为乙方违约。乙方应负担由此而产生的一切损失。</w:t>
      </w:r>
    </w:p>
    <w:p w14:paraId="200DE098">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 xml:space="preserve"> 第七条   履约保证金</w:t>
      </w:r>
    </w:p>
    <w:p w14:paraId="6DA29C15">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1、乙方在签订本合同之前，向甲方构提交履约保证金人民币</w:t>
      </w:r>
      <w:r>
        <w:rPr>
          <w:rFonts w:hint="eastAsia"/>
          <w:color w:val="000000"/>
          <w:sz w:val="21"/>
          <w:szCs w:val="21"/>
          <w:highlight w:val="none"/>
          <w:u w:val="single"/>
        </w:rPr>
        <w:t xml:space="preserve">             </w:t>
      </w:r>
      <w:r>
        <w:rPr>
          <w:rFonts w:hint="eastAsia"/>
          <w:color w:val="000000"/>
          <w:sz w:val="21"/>
          <w:szCs w:val="21"/>
          <w:highlight w:val="none"/>
        </w:rPr>
        <w:t>元，￥</w:t>
      </w:r>
      <w:r>
        <w:rPr>
          <w:rFonts w:hint="eastAsia"/>
          <w:color w:val="000000"/>
          <w:sz w:val="21"/>
          <w:szCs w:val="21"/>
          <w:highlight w:val="none"/>
          <w:u w:val="single"/>
        </w:rPr>
        <w:t xml:space="preserve">        </w:t>
      </w:r>
      <w:r>
        <w:rPr>
          <w:rFonts w:hint="eastAsia"/>
          <w:color w:val="000000"/>
          <w:sz w:val="21"/>
          <w:szCs w:val="21"/>
          <w:highlight w:val="none"/>
        </w:rPr>
        <w:t>元。</w:t>
      </w:r>
    </w:p>
    <w:p w14:paraId="56ED5A1B">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2、履约保证金的有效期为乙方承诺的服务期限。</w:t>
      </w:r>
    </w:p>
    <w:p w14:paraId="2938B85E">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3、履约保证金作为违约金的一部分及用于补偿甲方因乙方不能履行合同义务而蒙受的损失。</w:t>
      </w:r>
    </w:p>
    <w:p w14:paraId="7A0D070F">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4、服务期限结束后，甲方财务部门接到甲方确认本合同服务等约定事项已经履行完毕的正式书面文件后的</w:t>
      </w:r>
      <w:r>
        <w:rPr>
          <w:rFonts w:hint="eastAsia"/>
          <w:color w:val="000000"/>
          <w:sz w:val="21"/>
          <w:szCs w:val="21"/>
          <w:highlight w:val="none"/>
          <w:u w:val="single"/>
        </w:rPr>
        <w:t xml:space="preserve">      </w:t>
      </w:r>
      <w:r>
        <w:rPr>
          <w:rFonts w:hint="eastAsia"/>
          <w:color w:val="000000"/>
          <w:sz w:val="21"/>
          <w:szCs w:val="21"/>
          <w:highlight w:val="none"/>
        </w:rPr>
        <w:t>日内，向乙方退还履约保证金。</w:t>
      </w:r>
    </w:p>
    <w:p w14:paraId="2A464231">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5、乙方可以履约担保函的形式交纳履约保证金（格式见附件1）。</w:t>
      </w:r>
    </w:p>
    <w:p w14:paraId="5D11125C">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第八条  甲方的权利和义务</w:t>
      </w:r>
    </w:p>
    <w:p w14:paraId="0AE2E5A2">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b/>
          <w:bCs/>
          <w:color w:val="000000"/>
          <w:sz w:val="21"/>
          <w:szCs w:val="21"/>
          <w:highlight w:val="none"/>
        </w:rPr>
      </w:pPr>
      <w:r>
        <w:rPr>
          <w:rFonts w:hint="eastAsia"/>
          <w:color w:val="000000"/>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709FC11">
      <w:pPr>
        <w:pStyle w:val="3"/>
        <w:shd w:val="clear" w:color="auto" w:fill="FFFFFF"/>
        <w:spacing w:before="0" w:beforeAutospacing="0" w:after="0" w:afterAutospacing="0" w:line="440" w:lineRule="exact"/>
        <w:ind w:firstLine="420" w:firstLineChars="200"/>
        <w:rPr>
          <w:color w:val="000000"/>
          <w:sz w:val="21"/>
          <w:szCs w:val="21"/>
        </w:rPr>
      </w:pPr>
      <w:r>
        <w:rPr>
          <w:rFonts w:hint="eastAsia"/>
          <w:color w:val="000000"/>
          <w:sz w:val="21"/>
          <w:szCs w:val="21"/>
        </w:rPr>
        <w:t>2、甲方根据考评办法对乙方提供的服务进行定期考评。当考评结果未达到标准时，有权依据考评办法约定的数额扣除履约保证金。</w:t>
      </w:r>
    </w:p>
    <w:p w14:paraId="0295DFFC">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3、负责检查监督乙方管理工作的实施及制度的执行情况。</w:t>
      </w:r>
    </w:p>
    <w:p w14:paraId="57BC287C">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4、根据本合同规定，按时向乙方支付应付服务费用。</w:t>
      </w:r>
    </w:p>
    <w:p w14:paraId="51952085">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5、国家法律、法规所规定由甲方承担的其它责任。</w:t>
      </w:r>
    </w:p>
    <w:p w14:paraId="13E25973">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第九条  乙方的权利和义务</w:t>
      </w:r>
    </w:p>
    <w:p w14:paraId="2F5CBE7B">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1、对本合同规定的委托服务范围内的项目享有管理权及服务义务。</w:t>
      </w:r>
    </w:p>
    <w:p w14:paraId="19B5B0E0">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2、根据本合同的规定向甲方收取相关服务费用，并有权在本项目管理范围内管理及合理使用。</w:t>
      </w:r>
    </w:p>
    <w:p w14:paraId="45F1A655">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3、及时向甲方通告本项目服务范围内有关服务的重大事项，及时配合处理投诉。</w:t>
      </w:r>
    </w:p>
    <w:p w14:paraId="5C633451">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4、接受项目行业管理部门及政府有关部门的指导，接受甲方的监督。</w:t>
      </w:r>
    </w:p>
    <w:p w14:paraId="410ED6E1">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5、国家法律、法规所规定由乙方承担的其它责任。</w:t>
      </w:r>
    </w:p>
    <w:p w14:paraId="2882972D">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第十条  违约责任</w:t>
      </w:r>
    </w:p>
    <w:p w14:paraId="6AFDCA0F">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1、甲乙双方必须遵守本合同并执行合同中的各项规定，保证本合同的正常履行。</w:t>
      </w:r>
    </w:p>
    <w:p w14:paraId="55F58BE5">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23CAE4A">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第十一条  不可抗力事件处理</w:t>
      </w:r>
    </w:p>
    <w:p w14:paraId="24B519CA">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1、在合同有效期内，任何一方因不可抗力事件导致不能履行合同，则合同履行期可延长，其延长期与不可抗力影响期相同。</w:t>
      </w:r>
    </w:p>
    <w:p w14:paraId="47911140">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2、不可抗力事件发生后，应立即通知对方，并寄送有关权威机构出具的证明。</w:t>
      </w:r>
    </w:p>
    <w:p w14:paraId="11E9C5E9">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ascii="宋体" w:hAnsi="宋体" w:eastAsia="宋体"/>
          <w:b/>
          <w:bCs/>
          <w:color w:val="000000"/>
          <w:sz w:val="21"/>
          <w:szCs w:val="21"/>
          <w:highlight w:val="none"/>
        </w:rPr>
      </w:pPr>
      <w:r>
        <w:rPr>
          <w:rFonts w:hint="eastAsia"/>
          <w:color w:val="000000"/>
          <w:sz w:val="21"/>
          <w:szCs w:val="21"/>
          <w:highlight w:val="none"/>
        </w:rPr>
        <w:t>3、不可抗力事件延续</w:t>
      </w:r>
      <w:r>
        <w:rPr>
          <w:rFonts w:hint="eastAsia"/>
          <w:color w:val="000000"/>
          <w:sz w:val="21"/>
          <w:szCs w:val="21"/>
          <w:highlight w:val="none"/>
          <w:u w:val="single"/>
        </w:rPr>
        <w:t xml:space="preserve">     </w:t>
      </w:r>
      <w:r>
        <w:rPr>
          <w:rFonts w:hint="eastAsia"/>
          <w:color w:val="000000"/>
          <w:sz w:val="21"/>
          <w:szCs w:val="21"/>
          <w:highlight w:val="none"/>
        </w:rPr>
        <w:t>天以上，双方应通过友好协商，确定是否继续履行合同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Start w:id="18" w:name="_Toc211911353"/>
      <w:bookmarkStart w:id="19" w:name="_Toc232492933"/>
      <w:bookmarkStart w:id="20" w:name="_Toc225244857"/>
      <w:bookmarkStart w:id="21" w:name="_Toc251768867"/>
      <w:bookmarkStart w:id="22" w:name="_Toc185395254"/>
      <w:bookmarkStart w:id="23" w:name="_Toc225670756"/>
      <w:bookmarkStart w:id="24" w:name="_Toc241833908"/>
      <w:bookmarkStart w:id="25" w:name="_Toc239568423"/>
      <w:bookmarkStart w:id="26" w:name="_Toc239233919"/>
      <w:bookmarkStart w:id="27" w:name="_Toc286993792"/>
      <w:bookmarkStart w:id="28" w:name="_Toc237145411"/>
      <w:bookmarkStart w:id="29" w:name="_Toc212019599"/>
      <w:bookmarkStart w:id="30" w:name="_Toc238984980"/>
      <w:bookmarkStart w:id="31" w:name="_Toc211854454"/>
      <w:bookmarkStart w:id="32" w:name="_Toc225654649"/>
      <w:bookmarkStart w:id="33" w:name="_Toc247334846"/>
      <w:r>
        <w:rPr>
          <w:rFonts w:hint="eastAsia" w:ascii="宋体" w:hAnsi="宋体" w:eastAsia="宋体"/>
          <w:color w:val="000000"/>
          <w:sz w:val="21"/>
          <w:szCs w:val="21"/>
          <w:highlight w:val="none"/>
        </w:rPr>
        <w:t>。</w:t>
      </w:r>
      <w:r>
        <w:rPr>
          <w:rFonts w:hint="eastAsia"/>
          <w:b/>
          <w:bCs/>
          <w:color w:val="000000"/>
          <w:sz w:val="21"/>
          <w:szCs w:val="21"/>
          <w:highlight w:val="none"/>
        </w:rPr>
        <w:t xml:space="preserve"> </w:t>
      </w:r>
    </w:p>
    <w:p w14:paraId="0A587AC0">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color w:val="000000"/>
          <w:sz w:val="21"/>
          <w:szCs w:val="21"/>
          <w:highlight w:val="none"/>
        </w:rPr>
      </w:pPr>
      <w:r>
        <w:rPr>
          <w:rFonts w:hint="eastAsia"/>
          <w:b/>
          <w:bCs/>
          <w:color w:val="000000"/>
          <w:sz w:val="21"/>
          <w:szCs w:val="21"/>
          <w:highlight w:val="none"/>
        </w:rPr>
        <w:t>第十二条  合同的变更和终止</w:t>
      </w:r>
    </w:p>
    <w:p w14:paraId="48023DE6">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除《中华人民共和国政府采购法》第49条、第50条第二款规定的情形外，本合同一经签订，甲乙双方不得擅自变更、中止或终止合同。</w:t>
      </w:r>
    </w:p>
    <w:p w14:paraId="2431EF85">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30926B1">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1、在执行本合同中发生的或与本合同有关的争端，双方应通过友好协商解决，经协商在XX天内不能达成协议时，则采取以下第2种方式解决争议：</w:t>
      </w:r>
    </w:p>
    <w:p w14:paraId="1D60E3A1">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（1）向甲方所在地有管辖权的人民法院提起诉讼；</w:t>
      </w:r>
    </w:p>
    <w:p w14:paraId="1F492CD7">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（2）向</w:t>
      </w:r>
      <w:r>
        <w:rPr>
          <w:rFonts w:hint="eastAsia"/>
          <w:color w:val="000000"/>
          <w:sz w:val="21"/>
          <w:szCs w:val="21"/>
          <w:highlight w:val="none"/>
          <w:u w:val="single"/>
        </w:rPr>
        <w:t>西安</w:t>
      </w:r>
      <w:r>
        <w:rPr>
          <w:rFonts w:hint="eastAsia"/>
          <w:color w:val="000000"/>
          <w:sz w:val="21"/>
          <w:szCs w:val="21"/>
          <w:highlight w:val="none"/>
        </w:rPr>
        <w:t>仲裁委员会按其仲裁规则申请仲裁。</w:t>
      </w:r>
    </w:p>
    <w:p w14:paraId="28EEB36D">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2、在仲裁期间，本合同应继续履行。</w:t>
      </w:r>
    </w:p>
    <w:p w14:paraId="60B5186D">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bookmarkStart w:id="34" w:name="_Toc286993793"/>
      <w:bookmarkStart w:id="35" w:name="_Toc232492934"/>
      <w:bookmarkStart w:id="36" w:name="_Toc225244858"/>
      <w:bookmarkStart w:id="37" w:name="_Toc211854455"/>
      <w:bookmarkStart w:id="38" w:name="_Toc241833909"/>
      <w:bookmarkStart w:id="39" w:name="_Toc185395255"/>
      <w:bookmarkStart w:id="40" w:name="_Toc283019219"/>
      <w:bookmarkStart w:id="41" w:name="_Toc225670757"/>
      <w:bookmarkStart w:id="42" w:name="_Toc237145412"/>
      <w:bookmarkStart w:id="43" w:name="_Toc247334847"/>
      <w:bookmarkStart w:id="44" w:name="_Toc212019600"/>
      <w:bookmarkStart w:id="45" w:name="_Toc282696231"/>
      <w:bookmarkStart w:id="46" w:name="_Toc238984981"/>
      <w:bookmarkStart w:id="47" w:name="_Toc239233920"/>
      <w:bookmarkStart w:id="48" w:name="_Toc225654650"/>
      <w:bookmarkStart w:id="49" w:name="_Toc251768868"/>
      <w:bookmarkStart w:id="50" w:name="_Toc211911354"/>
      <w:bookmarkStart w:id="51" w:name="_Toc239568424"/>
      <w:r>
        <w:rPr>
          <w:rFonts w:hint="eastAsia"/>
          <w:b/>
          <w:bCs/>
          <w:color w:val="000000"/>
          <w:sz w:val="21"/>
          <w:szCs w:val="21"/>
          <w:highlight w:val="none"/>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b/>
          <w:bCs/>
          <w:color w:val="000000"/>
          <w:sz w:val="21"/>
          <w:szCs w:val="21"/>
          <w:highlight w:val="none"/>
        </w:rPr>
        <w:t>生效及其他</w:t>
      </w:r>
    </w:p>
    <w:p w14:paraId="7C9B233F">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1、合同经双方法定代表人或授权委托代理人签字并加盖单位公章后生效。</w:t>
      </w:r>
    </w:p>
    <w:p w14:paraId="02D582B4">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768FFC38">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3、本合同一式陆份，自双方签章之日起起效。甲方贰份，乙方贰份，政府采购代理机构壹份，同级财政部门备案壹份，具有同等法律效力。</w:t>
      </w:r>
    </w:p>
    <w:p w14:paraId="0840FAAA">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第十五条  附件</w:t>
      </w:r>
    </w:p>
    <w:p w14:paraId="01699AA2">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1、项目</w:t>
      </w:r>
      <w:r>
        <w:rPr>
          <w:rFonts w:hint="eastAsia"/>
          <w:color w:val="000000"/>
          <w:sz w:val="21"/>
          <w:szCs w:val="21"/>
          <w:highlight w:val="none"/>
          <w:lang w:val="en-US" w:eastAsia="zh-CN"/>
        </w:rPr>
        <w:t>竞争性磋商</w:t>
      </w:r>
      <w:r>
        <w:rPr>
          <w:rFonts w:hint="eastAsia"/>
          <w:color w:val="000000"/>
          <w:sz w:val="21"/>
          <w:szCs w:val="21"/>
          <w:highlight w:val="none"/>
        </w:rPr>
        <w:t>文件</w:t>
      </w:r>
    </w:p>
    <w:p w14:paraId="35C08E35">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2、项目修改澄清文件</w:t>
      </w:r>
    </w:p>
    <w:p w14:paraId="4479D396">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3、项目</w:t>
      </w:r>
      <w:r>
        <w:rPr>
          <w:rFonts w:hint="eastAsia"/>
          <w:color w:val="000000"/>
          <w:sz w:val="21"/>
          <w:szCs w:val="21"/>
          <w:highlight w:val="none"/>
          <w:lang w:val="en-US" w:eastAsia="zh-CN"/>
        </w:rPr>
        <w:t>响应</w:t>
      </w:r>
      <w:r>
        <w:rPr>
          <w:rFonts w:hint="eastAsia"/>
          <w:color w:val="000000"/>
          <w:sz w:val="21"/>
          <w:szCs w:val="21"/>
          <w:highlight w:val="none"/>
        </w:rPr>
        <w:t>文件</w:t>
      </w:r>
    </w:p>
    <w:p w14:paraId="1C579C60">
      <w:pPr>
        <w:pStyle w:val="3"/>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w:t>
      </w:r>
      <w:r>
        <w:rPr>
          <w:rFonts w:hint="eastAsia"/>
          <w:color w:val="000000"/>
          <w:sz w:val="21"/>
          <w:szCs w:val="21"/>
          <w:highlight w:val="none"/>
          <w:lang w:val="en-US" w:eastAsia="zh-CN"/>
        </w:rPr>
        <w:t>成交</w:t>
      </w:r>
      <w:r>
        <w:rPr>
          <w:rFonts w:hint="eastAsia"/>
          <w:color w:val="000000"/>
          <w:sz w:val="21"/>
          <w:szCs w:val="21"/>
          <w:highlight w:val="none"/>
        </w:rPr>
        <w:t>通知书</w:t>
      </w:r>
    </w:p>
    <w:p w14:paraId="0266989A">
      <w:pPr>
        <w:keepNext w:val="0"/>
        <w:keepLines w:val="0"/>
        <w:pageBreakBefore w:val="0"/>
        <w:kinsoku/>
        <w:wordWrap/>
        <w:overflowPunct/>
        <w:topLinePunct w:val="0"/>
        <w:autoSpaceDE/>
        <w:autoSpaceDN/>
        <w:bidi w:val="0"/>
        <w:adjustRightInd/>
        <w:snapToGrid w:val="0"/>
        <w:spacing w:line="440" w:lineRule="exact"/>
        <w:ind w:firstLine="539"/>
        <w:textAlignment w:val="auto"/>
        <w:rPr>
          <w:rFonts w:hint="eastAsia" w:ascii="宋体" w:hAnsi="宋体" w:eastAsia="宋体" w:cs="宋体"/>
          <w:color w:val="000000"/>
          <w:szCs w:val="21"/>
          <w:highlight w:val="none"/>
        </w:rPr>
      </w:pPr>
      <w:r>
        <w:rPr>
          <w:rFonts w:hint="eastAsia"/>
          <w:color w:val="000000"/>
          <w:sz w:val="21"/>
          <w:szCs w:val="21"/>
          <w:highlight w:val="none"/>
        </w:rPr>
        <w:t>5、其他</w:t>
      </w:r>
    </w:p>
    <w:p w14:paraId="687FBFD6">
      <w:pPr>
        <w:spacing w:line="360" w:lineRule="auto"/>
        <w:ind w:firstLine="420" w:firstLineChars="200"/>
        <w:rPr>
          <w:rFonts w:hint="eastAsia" w:ascii="宋体" w:hAnsi="宋体" w:eastAsia="宋体" w:cs="宋体"/>
          <w:color w:val="000000"/>
          <w:szCs w:val="21"/>
          <w:highlight w:val="none"/>
        </w:rPr>
      </w:pPr>
    </w:p>
    <w:p w14:paraId="3DDD5427">
      <w:pPr>
        <w:spacing w:line="360" w:lineRule="auto"/>
        <w:ind w:firstLine="420" w:firstLineChars="200"/>
        <w:rPr>
          <w:rFonts w:hint="eastAsia" w:ascii="宋体" w:hAnsi="宋体" w:eastAsia="宋体" w:cs="宋体"/>
          <w:color w:val="000000"/>
          <w:szCs w:val="21"/>
          <w:highlight w:val="none"/>
        </w:rPr>
      </w:pPr>
    </w:p>
    <w:p w14:paraId="04166EE2">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甲方：   （盖章）   </w:t>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 xml:space="preserve">    乙方：   （盖章）</w:t>
      </w:r>
    </w:p>
    <w:p w14:paraId="6364D679">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负责人/委托代理人：                 法定代表人/委托代理人：</w:t>
      </w:r>
    </w:p>
    <w:p w14:paraId="21329D40">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地    址：                          地    址：</w:t>
      </w:r>
    </w:p>
    <w:p w14:paraId="12F21BA4">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开户银行：                          开户银行：</w:t>
      </w:r>
    </w:p>
    <w:p w14:paraId="28AA604C">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账    号：                          账    号：</w:t>
      </w:r>
    </w:p>
    <w:p w14:paraId="69052DA0">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    话：                          电    话：</w:t>
      </w:r>
    </w:p>
    <w:p w14:paraId="2E947AE0">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传    真：                          传    真：</w:t>
      </w:r>
    </w:p>
    <w:p w14:paraId="6513B833">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签约日期：    年  月  日            签约日期：    年  月  日</w:t>
      </w:r>
    </w:p>
    <w:p w14:paraId="57570C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1348A6"/>
    <w:multiLevelType w:val="singleLevel"/>
    <w:tmpl w:val="081348A6"/>
    <w:lvl w:ilvl="0" w:tentative="0">
      <w:start w:val="1"/>
      <w:numFmt w:val="decimal"/>
      <w:suff w:val="nothing"/>
      <w:lvlText w:val="%1、"/>
      <w:lvlJc w:val="left"/>
    </w:lvl>
  </w:abstractNum>
  <w:abstractNum w:abstractNumId="1">
    <w:nsid w:val="5EAF7BAD"/>
    <w:multiLevelType w:val="singleLevel"/>
    <w:tmpl w:val="5EAF7BAD"/>
    <w:lvl w:ilvl="0" w:tentative="0">
      <w:start w:val="3"/>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B25C29"/>
    <w:rsid w:val="36ED1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b/>
      <w:sz w:val="28"/>
    </w:rPr>
  </w:style>
  <w:style w:type="paragraph" w:styleId="3">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4">
    <w:name w:val="Body Text First Indent"/>
    <w:basedOn w:val="2"/>
    <w:qFormat/>
    <w:uiPriority w:val="0"/>
    <w:rPr>
      <w:rFonts w:hAnsi="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2667</Words>
  <Characters>2677</Characters>
  <Lines>0</Lines>
  <Paragraphs>0</Paragraphs>
  <TotalTime>0</TotalTime>
  <ScaleCrop>false</ScaleCrop>
  <LinksUpToDate>false</LinksUpToDate>
  <CharactersWithSpaces>3023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2024-12-09T07:44:00Z</dcterms:created>
  <dc:creator>Administrator</dc:creator>
  <cp:lastModifiedBy>心痛末路</cp:lastModifiedBy>
  <dcterms:modified xsi:type="dcterms:W3CDTF">2025-02-22T13:22:50Z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038C15FBFF054B08A89DEF6F16BA3EF0_13</vt:lpwstr>
  </property>
</Properties>
</file>