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版本号：YC2530500110-ZFCG20250305001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周至县残联2025年残疾人居家安养服务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YC2530500110-ZFCG</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周至县残联2025年残疾人居家安养服务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YC2530500110-ZFCG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周至县残联2025年残疾人居家安养服务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残疾人需求，整合机构、社区（村）、家庭等多种服务资源，以定期上门服务为基本形式，为分散居住的残疾人提供生活照料（助洁、助餐、助浴、助行、助医等服务）、康复护理（生活护理、康复保健等）、精神慰藉和其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采购包1（周至县残联2025年残疾人居家安养服务）：属于专门面向中小企业采购。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2、法定代表人授权委托书：法定代表人授权委托书（附法定代表人、被授权人身份证复印件并加盖公章）和被授权人身份证原件。（法定代表人参加投标只须提供法定代表人身份证明书及身份证原件）；</w:t>
      </w:r>
    </w:p>
    <w:p>
      <w:pPr>
        <w:pStyle w:val="null3"/>
      </w:pPr>
      <w:r>
        <w:rPr>
          <w:rFonts w:ascii="仿宋_GB2312" w:hAnsi="仿宋_GB2312" w:cs="仿宋_GB2312" w:eastAsia="仿宋_GB2312"/>
        </w:rPr>
        <w:t>3、信誉信息：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5、中小企业采购情况：本项目为专门面向中小企业采购；</w:t>
      </w:r>
    </w:p>
    <w:p>
      <w:pPr>
        <w:pStyle w:val="null3"/>
      </w:pPr>
      <w:r>
        <w:rPr>
          <w:rFonts w:ascii="仿宋_GB2312" w:hAnsi="仿宋_GB2312" w:cs="仿宋_GB2312" w:eastAsia="仿宋_GB2312"/>
        </w:rPr>
        <w:t>6、非联合体声明：本次磋商不接受联合体磋商。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13572815132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15202421357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代理服务费收费标准：招标代理服务费依据计价格[2002]1980号文和发改价格[2011]534号文收费标准收取，中标单位在领取中标通知书前向代理机构一次性全额支付。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联系电话：15202421357</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残疾人需求，整合机构、社区（村）、家庭等多种服务资源，以定期上门服务为基本形式，为分散居住的残疾人提供生活照料（助洁、助餐、助浴、助行、助医等服务）、康复护理（生活护理、康复保健等）、精神慰藉和其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周至县残联2025年残疾人居家安养服务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标的名称：周至县残联2025年残疾人居家安养服务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服务方式</w:t>
            </w:r>
          </w:p>
        </w:tc>
        <w:tc>
          <w:tcPr>
            <w:tcW w:type="dxa" w:w="2076"/>
          </w:tcPr>
          <w:p>
            <w:pPr>
              <w:pStyle w:val="null3"/>
              <w:ind w:firstLine="480"/>
              <w:jc w:val="left"/>
            </w:pPr>
            <w:r>
              <w:rPr>
                <w:rFonts w:ascii="仿宋_GB2312" w:hAnsi="仿宋_GB2312" w:cs="仿宋_GB2312" w:eastAsia="仿宋_GB2312"/>
              </w:rPr>
              <w:t>根据残疾人需求，整合机构、社区（村）、家庭等多种服务资源，以定期上门服务为基本形式，为分散居住的残疾人提供生活照料（助洁、助餐、助浴、助行、助医等服务）、康复护理（生活护理、康复保健等）、精神慰藉和其他服务。</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服务对象：申请补助对象应同时符合以下条件：</w:t>
            </w:r>
          </w:p>
        </w:tc>
        <w:tc>
          <w:tcPr>
            <w:tcW w:type="dxa" w:w="2076"/>
          </w:tcPr>
          <w:p>
            <w:pPr>
              <w:pStyle w:val="null3"/>
              <w:ind w:firstLine="480"/>
              <w:jc w:val="left"/>
            </w:pPr>
            <w:r>
              <w:rPr>
                <w:rFonts w:ascii="仿宋_GB2312" w:hAnsi="仿宋_GB2312" w:cs="仿宋_GB2312" w:eastAsia="仿宋_GB2312"/>
              </w:rPr>
              <w:t>（一）16-59(＜60)周岁的智力残疾人、病情稳定的精神残疾人和重度肢体残疾人以及同时存在智力或精神残疾的多重残疾人</w:t>
            </w:r>
          </w:p>
          <w:p>
            <w:pPr>
              <w:pStyle w:val="null3"/>
            </w:pPr>
            <w:r>
              <w:rPr>
                <w:rFonts w:ascii="仿宋_GB2312" w:hAnsi="仿宋_GB2312" w:cs="仿宋_GB2312" w:eastAsia="仿宋_GB2312"/>
              </w:rPr>
              <w:t>（二）本人和家庭有托养服务需求，自愿接受托养服务。纳入特困人员救助供养条件的残疾人不再作为托养服务对象。</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0"/>
              <w:jc w:val="left"/>
            </w:pPr>
            <w:r>
              <w:rPr>
                <w:rFonts w:ascii="仿宋_GB2312" w:hAnsi="仿宋_GB2312" w:cs="仿宋_GB2312" w:eastAsia="仿宋_GB2312"/>
              </w:rPr>
              <w:t>本项目服务人次暂定200人，按照残疾人个性化需求，分类开展服务，通过基本生活照料和护理、生活自理能力训练、社会适应能力辅导和运动功能训练。</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服务时间要求</w:t>
            </w:r>
          </w:p>
        </w:tc>
        <w:tc>
          <w:tcPr>
            <w:tcW w:type="dxa" w:w="2076"/>
          </w:tcPr>
          <w:p>
            <w:pPr>
              <w:pStyle w:val="null3"/>
              <w:jc w:val="left"/>
            </w:pPr>
            <w:r>
              <w:rPr>
                <w:rFonts w:ascii="仿宋_GB2312" w:hAnsi="仿宋_GB2312" w:cs="仿宋_GB2312" w:eastAsia="仿宋_GB2312"/>
              </w:rPr>
              <w:t>服务时间保证每月不小于8小时，每人全年不少于96.2小时。</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其它技术要求</w:t>
            </w:r>
          </w:p>
        </w:tc>
        <w:tc>
          <w:tcPr>
            <w:tcW w:type="dxa" w:w="2076"/>
          </w:tcPr>
          <w:p>
            <w:pPr>
              <w:pStyle w:val="null3"/>
              <w:jc w:val="left"/>
            </w:pPr>
            <w:r>
              <w:rPr>
                <w:rFonts w:ascii="仿宋_GB2312" w:hAnsi="仿宋_GB2312" w:cs="仿宋_GB2312" w:eastAsia="仿宋_GB2312"/>
              </w:rPr>
              <w:t>合法设置，手续齐全。固定场所，建面≥30平，服务每年一签，培训每年不少于1次（尤其管理岗位），制定个别化居家服务方案，有阶段性调整方案，动态管理，基本信息库，有专门联系残疾人的多元化信息平台，专职管理人员1名以上。服务内容有生活照料护理、社会化适应能力辅导、功能训练、职业康复和劳动技能训练。满意回访率不低于60%，满意度大于80%。有健全的管理制度、信息管理制度。服务成效，基本条件，服务规范，协议一年一签。居家安养服务机构办公场所应通讯设备齐全，通讯畅通，满足移动服务信息化系统的运行需求。</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2025年4月1日至2026年3月31日。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法定代表人授权委托书（附法定代表人、被授权人身份证复印件并加盖公章）和被授权人身份证原件。（法定代表人参加投标只须提供法定代表人身份证明书及身份证原件）；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相关资格证明材料.docx 响应文件封面 分项报价表.docx 残疾人福利性单位声明函 标的清单 响应函 服务方案.docx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项目背景以及需求分析</w:t>
            </w:r>
          </w:p>
        </w:tc>
        <w:tc>
          <w:tcPr>
            <w:tcW w:type="dxa" w:w="2492"/>
          </w:tcPr>
          <w:p>
            <w:pPr>
              <w:pStyle w:val="null3"/>
            </w:pPr>
            <w:r>
              <w:rPr>
                <w:rFonts w:ascii="仿宋_GB2312" w:hAnsi="仿宋_GB2312" w:cs="仿宋_GB2312" w:eastAsia="仿宋_GB2312"/>
              </w:rPr>
              <w:t>对项目背景以及需求定位合理，描述清晰，且能针对性满足项目需求的得（7-10]分； 对项目背景以及需求定位合理，但陈述简单，缺乏针对性的得（3-7]分； 对项目背景以及需求定位理解笼统的得[0-3]分。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生活照料和护理类服务方案</w:t>
            </w:r>
          </w:p>
        </w:tc>
        <w:tc>
          <w:tcPr>
            <w:tcW w:type="dxa" w:w="2492"/>
          </w:tcPr>
          <w:p>
            <w:pPr>
              <w:pStyle w:val="null3"/>
            </w:pPr>
            <w:r>
              <w:rPr>
                <w:rFonts w:ascii="仿宋_GB2312" w:hAnsi="仿宋_GB2312" w:cs="仿宋_GB2312" w:eastAsia="仿宋_GB2312"/>
              </w:rPr>
              <w:t xml:space="preserve"> 服务方案总体构想科学合理，描述清晰，且能针对性满足项目需求的得（6-10]分； 服务方案总体构想合理，但陈述简单，缺乏针对性的得（3-6]分； 服务方案总体构想笼统的得[0-3]分。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社会适应能力辅导和运动功能训练服务方案</w:t>
            </w:r>
          </w:p>
        </w:tc>
        <w:tc>
          <w:tcPr>
            <w:tcW w:type="dxa" w:w="2492"/>
          </w:tcPr>
          <w:p>
            <w:pPr>
              <w:pStyle w:val="null3"/>
            </w:pPr>
            <w:r>
              <w:rPr>
                <w:rFonts w:ascii="仿宋_GB2312" w:hAnsi="仿宋_GB2312" w:cs="仿宋_GB2312" w:eastAsia="仿宋_GB2312"/>
              </w:rPr>
              <w:t>服务方案总体构想科学合理，描述清晰，且能针对性满足项目需求的得（10-15]分； 服务方案总体构想合理，但陈述简单，缺乏针对性的得（5-10]分； 服务方案总体构想笼统的得[0-5]分。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专业设施设备</w:t>
            </w:r>
          </w:p>
        </w:tc>
        <w:tc>
          <w:tcPr>
            <w:tcW w:type="dxa" w:w="2492"/>
          </w:tcPr>
          <w:p>
            <w:pPr>
              <w:pStyle w:val="null3"/>
            </w:pPr>
            <w:r>
              <w:rPr>
                <w:rFonts w:ascii="仿宋_GB2312" w:hAnsi="仿宋_GB2312" w:cs="仿宋_GB2312" w:eastAsia="仿宋_GB2312"/>
              </w:rPr>
              <w:t>具有完成本次安养服务的专业设施设备，设施设备配置科学合理，描述清晰，且能针对性满足项目需求的得（5-8]分； 具有完成本次安养服务的专业设施设备，设施设备配置合理，但陈述简单，缺乏针对性的得（2-5]分； 具有完成本次安养服务的专业设施设备，设施设备配置笼统的得[0-2]分。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针对服务对象的特殊性提供服务安全保证措施，科学合理，描述清晰，且能针对性满足项目需求的得（7-10]分； 安全保证措施合理，但陈述简单，缺乏针对性的得（3-7]分； 安全保证措施笼统的得[0-3]分。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服务质量保证措施科学合理，描述清晰，且能针对性满足项目需求的得（7-10]分； 质量保证措施合理，但陈述简单，缺乏针对性的得（3-7]分； 质量保证措施笼统的得[0-3]分。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管理及考核办法</w:t>
            </w:r>
          </w:p>
        </w:tc>
        <w:tc>
          <w:tcPr>
            <w:tcW w:type="dxa" w:w="2492"/>
          </w:tcPr>
          <w:p>
            <w:pPr>
              <w:pStyle w:val="null3"/>
            </w:pPr>
            <w:r>
              <w:rPr>
                <w:rFonts w:ascii="仿宋_GB2312" w:hAnsi="仿宋_GB2312" w:cs="仿宋_GB2312" w:eastAsia="仿宋_GB2312"/>
              </w:rPr>
              <w:t>根据本项目特点针对服务人员的管理及考核办法 管理及考核方案科学合理，描述清晰，且能针对性满足项目需求的得（7-10]分； 管理及考核方案合理，但陈述简单，缺乏针对性的得（3-7]分； 管理及考核方案笼统的得[0-3]分。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项目团队人员配备方</w:t>
            </w:r>
          </w:p>
        </w:tc>
        <w:tc>
          <w:tcPr>
            <w:tcW w:type="dxa" w:w="2492"/>
          </w:tcPr>
          <w:p>
            <w:pPr>
              <w:pStyle w:val="null3"/>
            </w:pPr>
            <w:r>
              <w:rPr>
                <w:rFonts w:ascii="仿宋_GB2312" w:hAnsi="仿宋_GB2312" w:cs="仿宋_GB2312" w:eastAsia="仿宋_GB2312"/>
              </w:rPr>
              <w:t>项目团队人员配备方案科学合理，描述清晰，且能针对性满足项目需求的得（5-7]分； 项目团队人员配备方案合理，但陈述简单，缺乏针对性的得（3-5]分； 项目团队人员配备方案笼统的得（0-3]分。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每提供1份近年内(2021年1月1日以后签订)完成的类似项目业绩计2分，最高计10分。（类似项目业绩须附合同或中标通知书复印件或扫描件，时间以合同签订时间或通知书落款时间为准）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