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版本号：YC2531200116-ZFCG20250415001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周至县耿峪河虎峰村段水毁修复工程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YC2531200116-ZFCG</w:t>
      </w:r>
      <w:r>
        <w:br/>
      </w:r>
      <w:r>
        <w:br/>
      </w:r>
      <w:r>
        <w:br/>
      </w:r>
    </w:p>
    <w:p>
      <w:pPr>
        <w:pStyle w:val="null3"/>
        <w:jc w:val="center"/>
        <w:outlineLvl w:val="2"/>
      </w:pPr>
      <w:r>
        <w:rPr>
          <w:rFonts w:ascii="仿宋_GB2312" w:hAnsi="仿宋_GB2312" w:cs="仿宋_GB2312" w:eastAsia="仿宋_GB2312"/>
          <w:sz w:val="28"/>
          <w:b/>
        </w:rPr>
        <w:t>西安市周至县田惠渠管理站</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西安市周至县田惠渠管理站</w:t>
      </w:r>
      <w:r>
        <w:rPr>
          <w:rFonts w:ascii="仿宋_GB2312" w:hAnsi="仿宋_GB2312" w:cs="仿宋_GB2312" w:eastAsia="仿宋_GB2312"/>
        </w:rPr>
        <w:t>委托，拟对</w:t>
      </w:r>
      <w:r>
        <w:rPr>
          <w:rFonts w:ascii="仿宋_GB2312" w:hAnsi="仿宋_GB2312" w:cs="仿宋_GB2312" w:eastAsia="仿宋_GB2312"/>
        </w:rPr>
        <w:t>周至县耿峪河虎峰村段水毁修复工程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YC2531200116-ZFCG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周至县耿峪河虎峰村段水毁修复工程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对耿峪河上起环山路下游固床坝，下至永和家庭农场门口原漫水桥段进行治理，治理总长度300m，修建固床坝1座，修建护岸80m(左右岸各40m)，疏浚河道 300m。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采购包1（周至县耿峪河虎峰村段水毁修复工程）：属于专门面向中小企业采购。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1、营业执照：有独立承担民事责任能力的法人、其他组织或自然人，投标人是法人或其他组织的应提供营业执照等证明文件，自然人的提供有效的自然人身份证明；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2、法定代表人授权委托书：法定代表人授权委托书（附法定代表人、被授权人身份证复印件并加盖公章）。（法定代表人参加投标只须提供法定代表人身份证明书及加盖单位公章的身份证复印件）；</w:t>
      </w:r>
    </w:p>
    <w:p>
      <w:pPr>
        <w:pStyle w:val="null3"/>
      </w:pPr>
      <w:r>
        <w:rPr>
          <w:rFonts w:ascii="仿宋_GB2312" w:hAnsi="仿宋_GB2312" w:cs="仿宋_GB2312" w:eastAsia="仿宋_GB2312"/>
        </w:rPr>
        <w:t>3、企业资质：供应商具备水利水电工程施工总承包三级以上(含三级)资质，具有有效的安全生产许可证;</w:t>
      </w:r>
    </w:p>
    <w:p>
      <w:pPr>
        <w:pStyle w:val="null3"/>
      </w:pPr>
      <w:r>
        <w:rPr>
          <w:rFonts w:ascii="仿宋_GB2312" w:hAnsi="仿宋_GB2312" w:cs="仿宋_GB2312" w:eastAsia="仿宋_GB2312"/>
        </w:rPr>
        <w:t>4、项目经理：拟派项目负责人须具备有效的水利水电工程专业二级(含二级)以上建造师注册证，具备水行政主管部门颁发的安全生产考核合格证(B证)，且在本单位注册，无在建工程;</w:t>
      </w:r>
    </w:p>
    <w:p>
      <w:pPr>
        <w:pStyle w:val="null3"/>
      </w:pPr>
      <w:r>
        <w:rPr>
          <w:rFonts w:ascii="仿宋_GB2312" w:hAnsi="仿宋_GB2312" w:cs="仿宋_GB2312" w:eastAsia="仿宋_GB2312"/>
        </w:rPr>
        <w:t>5、企业信誉：供应商不得为“信用中国”网站(wn, creditchina.ov.cn)列入“失信被执行人(页面跳转至“中国执行信息公开网”http;/zxgk.court.gov.cn/shixin/)、重大税收违法失信主体、政府采购严重违法失信行为记录名单”的供应商;不得为中国政府采败网(http://wnnw.ccgp.gov.cn)“政府采购严重违法失信行为记录名单”中的供应商;</w:t>
      </w:r>
    </w:p>
    <w:p>
      <w:pPr>
        <w:pStyle w:val="null3"/>
      </w:pPr>
      <w:r>
        <w:rPr>
          <w:rFonts w:ascii="仿宋_GB2312" w:hAnsi="仿宋_GB2312" w:cs="仿宋_GB2312" w:eastAsia="仿宋_GB2312"/>
        </w:rPr>
        <w:t>6、单位负责人为同一人或者存在直接控股管理关系的不同供应商：单位负责人为同一人或者存在直接控股、管理关系的不同供应商，不得参与同一合同项下的政府采购活动;</w:t>
      </w:r>
    </w:p>
    <w:p>
      <w:pPr>
        <w:pStyle w:val="null3"/>
      </w:pPr>
      <w:r>
        <w:rPr>
          <w:rFonts w:ascii="仿宋_GB2312" w:hAnsi="仿宋_GB2312" w:cs="仿宋_GB2312" w:eastAsia="仿宋_GB2312"/>
        </w:rPr>
        <w:t>7、是否接受联合体磋商：本项目不接受联合体磋商</w:t>
      </w:r>
    </w:p>
    <w:p>
      <w:pPr>
        <w:pStyle w:val="null3"/>
      </w:pPr>
      <w:r>
        <w:rPr>
          <w:rFonts w:ascii="仿宋_GB2312" w:hAnsi="仿宋_GB2312" w:cs="仿宋_GB2312" w:eastAsia="仿宋_GB2312"/>
        </w:rPr>
        <w:t>8、是否面向中小企业：本项目为专门面向中小企业采购。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西安市周至县田惠渠管理站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周至县九峰镇耿西村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西安市周至县田惠渠管理站经办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13992862868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17791977908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代理服务费收费标准：招标代理服务费依据计价格[2002]1980号文和发改价格[2011]534号文收费标准收取。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西安市周至县田惠渠管理站</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西安市周至县田惠渠管理站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西安市周至县田惠渠管理站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联系人：段薇</w:t>
      </w:r>
    </w:p>
    <w:p>
      <w:pPr>
        <w:pStyle w:val="null3"/>
      </w:pPr>
      <w:r>
        <w:rPr>
          <w:rFonts w:ascii="仿宋_GB2312" w:hAnsi="仿宋_GB2312" w:cs="仿宋_GB2312" w:eastAsia="仿宋_GB2312"/>
        </w:rPr>
        <w:t>联系电话：17791977908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859,500.00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周至县耿峪河虎峰村段水毁修复工程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标的名称：周至县耿峪河虎峰村段水毁修复工程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主要建设内容</w:t>
            </w:r>
          </w:p>
        </w:tc>
        <w:tc>
          <w:tcPr>
            <w:tcW w:type="dxa" w:w="2076"/>
          </w:tcPr>
          <w:p>
            <w:pPr>
              <w:pStyle w:val="null3"/>
            </w:pPr>
            <w:r>
              <w:rPr>
                <w:rFonts w:ascii="仿宋_GB2312" w:hAnsi="仿宋_GB2312" w:cs="仿宋_GB2312" w:eastAsia="仿宋_GB2312"/>
              </w:rPr>
              <w:t>对耿峪河上起环山路下游固床坝，下至永和家庭农场门口原漫水桥段进行治理，治理总长度300m，修建固床坝1座，修建护岸80m(左右岸各40m)，疏浚河道 300m。</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主要工程量</w:t>
            </w:r>
          </w:p>
        </w:tc>
        <w:tc>
          <w:tcPr>
            <w:tcW w:type="dxa" w:w="2076"/>
          </w:tcPr>
          <w:p>
            <w:pPr>
              <w:pStyle w:val="null3"/>
            </w:pPr>
            <w:r>
              <w:rPr>
                <w:rFonts w:ascii="仿宋_GB2312" w:hAnsi="仿宋_GB2312" w:cs="仿宋_GB2312" w:eastAsia="仿宋_GB2312"/>
              </w:rPr>
              <w:t>砂砾石开挖3172m³，砂砾石回填1626m³，格宾石笼641m³，散抛石55.8m³，钢筋制安85t，混凝土浇筑 570.6m³。</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工期及最高限价说明</w:t>
            </w:r>
          </w:p>
        </w:tc>
        <w:tc>
          <w:tcPr>
            <w:tcW w:type="dxa" w:w="2076"/>
          </w:tcPr>
          <w:p>
            <w:pPr>
              <w:pStyle w:val="null3"/>
            </w:pPr>
            <w:r>
              <w:rPr>
                <w:rFonts w:ascii="仿宋_GB2312" w:hAnsi="仿宋_GB2312" w:cs="仿宋_GB2312" w:eastAsia="仿宋_GB2312"/>
              </w:rPr>
              <w:t>工期:80日历天</w:t>
            </w:r>
          </w:p>
          <w:p>
            <w:pPr>
              <w:pStyle w:val="null3"/>
            </w:pPr>
            <w:r>
              <w:rPr>
                <w:rFonts w:ascii="仿宋_GB2312" w:hAnsi="仿宋_GB2312" w:cs="仿宋_GB2312" w:eastAsia="仿宋_GB2312"/>
              </w:rPr>
              <w:t>采购包最高限价(元)：859500.00(其中:预备费用为35400.00元、水土保持费15000.00元、环境保护费10000.00元均为不可竞争费用）。</w:t>
            </w:r>
          </w:p>
          <w:p>
            <w:pPr>
              <w:pStyle w:val="null3"/>
            </w:pPr>
            <w:r>
              <w:rPr>
                <w:rFonts w:ascii="仿宋_GB2312" w:hAnsi="仿宋_GB2312" w:cs="仿宋_GB2312" w:eastAsia="仿宋_GB2312"/>
              </w:rPr>
              <w:t>施工单位必须为本项目购买安全生产责任保险（简称“安责险”），以保障在施工过程中可能发生的生产安全事故导致的人员伤亡和相关经济损失。根据水利部颁布的《水利工程设计概算编制规定》和《水利工程工程量清单计价规范》（GB50501—2007），水利工程的单价分析表中包含安全措施费用。安责险作为安全措施的一部分，其费用已包含在这些安全措施费用中。</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周至县耿峪河虎峰村段水毁修复工程 编制说明 一、工程概况 周至县耿峪河虎峰村段水毁修复工程。 二、编制原则 本预算根据水利部办公厅关于调整水利工程计价依据增值税计算标准的通知办财务函〔2019〕448号、本项目投资概算和设计图纸进行编制。 三、编制依据及内容 1.工程工程量计价规范GB50501-2007；2009水利水电清单； 2.《陕西省水利工程设计概（估）算编制规定》 3.《陕西省水利建筑工程概算定额》 4.《陕西省水利设备安装工程概算定额》 5.《陕西省水利建筑工程预算定额》 6.《陕西省水利设备安装工程预算定额》 7.《陕西省水利工程施工机械台班费定额》 8.《陕西省水利水电工程营改增计价依据调整办法》陕发改投资（2016）1303号； 9.《陕西省发展和改革委员会关于《陕西省水利工程设计概(估)算编制规定》《陕西省水利建筑工程概算定额》等计价依据的批复》陕发改项目〔2017〕1606号； 10.陕西省水利厅&lt;关于发布试行《陕西省水利工程设计概（估）算编制规定》《陕西省水利建筑工程概算定额》等计价依据的通知&gt;陕水规计发【2019】66号文件 11.《水利部办公厅关于调整水利工程计价依据增值税计算标准的通知》办财务函〔2019〕448号； 12.项目投资概算及设计图纸； 四、基础单价 1.人工预算单价 根据陕西省陕水规计发[2019]66 号文发布的《陕西省水利水电工程设计概（估）算编制规定》，人工预算单价为：技工75元/工日，普工50元/工日。 2.主要材料预算价格和规定价格 主要材料价格=[主要材料原价+（运杂基本费×装载效能综合系数）]×（1+采购保管费费率）+运输保险费 依照《水利部办公厅关于调整水利工程计价依据增值税计算标准的通知》（办财务函[2019]448号）文件，主要材料原价采用不含增值税进项税额的价格。 主要材料原价=主要材料市场价（含增值税进项税额）÷调整系数。 3.其他直接费依据《陕西水利工程设计概（估）算编制规定》（陕发改项目[2017]1606号），建筑工程按基本直接费7.40%计算，安装工程按基本直接费6.79%计算，砂石备料工程其他直接费费率为0.5%计算。 4.间接费依据《陕西水利工程设计概（估）算编制规定》（陕发改项目[2017]1606号），具体内容详见附件。 5.利润依据《陕西水利工程设计概（估）算编制规定》（陕发改项目[2017]1606号））按5%计算。 6.税金依据《陕西水利工程设计概（估）算编制规定》（陕发改项目[2017]1606号）按9%计算。 五、其他说明 1.其他施工临时工程费率为2%； 2.暂列金：按35400.00元计入； 3.水土保持费：按15000.00元计入； 4.环境保持费：按10000.00元计入； 3.软件版本：天宇e算陕西省水利水电工程造价软件V1.2.6（202404-01）.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1、营业执照：有独立承担民事责任能力的法人、其他组织或自然人，投标人是法人或其他组织的应提供营业执照等证明文件，自然人的提供有效的自然人身份证明； 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2023年度或2024年度经审计的财务报告（成立时间至提交投标文件截止时间不足一年的可提供成立后任意时段的资产负债表），或投标截止时间前六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有独立承担民事责任能力的法人、其他组织或自然人，投标人是法人或其他组织的应提供营业执照等证明文件，自然人的提供有效的自然人身份证明；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法定代表人授权委托书（附法定代表人、被授权人身份证复印件并加盖公章）。（法定代表人参加投标只须提供法定代表人身份证明书及加盖单位公章的身份证复印件）；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供应商具备水利水电工程施工总承包三级以上(含三级)资质，具有有效的安全生产许可证;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拟派项目负责人须具备有效的水利水电工程专业二级(含二级)以上建造师注册证，具备水行政主管部门颁发的安全生产考核合格证(B证)，且在本单位注册，无在建工程;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供应商不得为“信用中国”网站(wn, creditchina.ov.cn)列入“失信被执行人(页面跳转至“中国执行信息公开网”http;/zxgk.court.gov.cn/shixin/)、重大税收违法失信主体、政府采购严重违法失信行为记录名单”的供应商;不得为中国政府采败网(http://wnnw.ccgp.gov.cn)“政府采购严重违法失信行为记录名单”中的供应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w:t>
            </w:r>
          </w:p>
        </w:tc>
        <w:tc>
          <w:tcPr>
            <w:tcW w:type="dxa" w:w="3322"/>
          </w:tcPr>
          <w:p>
            <w:pPr>
              <w:pStyle w:val="null3"/>
            </w:pPr>
            <w:r>
              <w:rPr>
                <w:rFonts w:ascii="仿宋_GB2312" w:hAnsi="仿宋_GB2312" w:cs="仿宋_GB2312" w:eastAsia="仿宋_GB2312"/>
              </w:rPr>
              <w:t>单位负责人为同一人或者存在直接控股、管理关系的不同供应商，不得参与同一合同项下的政府采购活动;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 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 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相关资格证明材料.docx 响应方案.docx 响应文件封面 分项报价表.docx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分项报价表.docx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应满足磋商文件中的工期要求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1、对本项目特性了解透彻，施工方案、方法与技术措施内容全面，方案先进、经济与项目实际结合紧密，对施工具有高度指导性，得8分；2、对项目特性了解较好，施工组织设计方案基本可行，得5分；3、施工方案内容不完整不详细不具体不能满足磋商文件要求，得2分。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1、质量目标明确，管理体系健全，预控和动态控制措施完整，实施工艺、手段先进、可靠、科学，管理体系和组织措施功能完善、管理幅度适宜，得8分；2、质量目标基本明确，控制措施基本全面，得5分；3、管理体系不完整不具体，措施过于简单，可行性较差得2分。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1、安全生产目标明确，预防和动态控制措施及制度完整、到位，管理体系和组织措施功能完善，得8分；2、安全生产目标基本明确，控制措施基本全面得5分；3、安全体系不完整不具体，控制措施过于简单，可行性较差得2分；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1、环境保护、水土保持目标明确，预防和动态控制措施及制度完整、到位，管理体系和组织措施功能完善得8分；2、目标基本明确，控制措施基本全面得5分；3、环境保护体系不完整不具体，控制措施过于简单，可行性较差得2分；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1、工期满足磋商文件要求、进度计划有横道图且工期控制合理，工期保障措施完善合理得8分；2、总工期满足招标文件要求、进度计划有横道图，工期控制基本合理，保障措施一般得5分；3、总工期满足招标文件要求，无进度计划横道图得2分。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1、设备配备、劳动力配备、资金配备科学性、合理性、可行性高，满足本工程要求得9分；2、设备配备、劳动力配备、资金配备科学性、合理性、可行性一般得6分；3、设备配备、劳动力配备、资金配备科学性、合理性、可行性较差得3分；4、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主要专业技术人员、管理人员的配备：项目经理部的机构设置合理，配备有技术总工、施工员、专职质检员、安全员、材料员、造价员等管理人员，满足工程需要者得6分；技术总工、施工员、专职质检员、安全员、材料员、造价员等岗位任意一项不满足要求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供应商近3年(自2022年1月1日至今以合同签订日期为准)类似项目业绩，每提供一个业绩得2分，最多得10分；（须附类似项目业绩合同的复印件或扫描件，并加盖公章）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在项目实施阶段及完成后所承诺的责任、服务内容，并针对本项目实际需求提供实质性服务承诺，确有利于本次招标，服务内容全面合理，实施性强计5分；2、内容不全面、实施性、可行性较差计3分；3、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价格分采用低价优先法计算，即满足磋商文件要求且最后磋商报价最低的供应商的价格为磋商基准价，其价格分为满分。其他供应商的价格分统一按照下列公式计算: 磋商报价得分=(磋商基准价/最后磋商报价)X价格分值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