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版本号：YC2531200115-ZFCG20250415001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周至县耿峪河耿西村段水毁修复工程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YC2531200115-ZFCG</w:t>
      </w:r>
      <w:r>
        <w:br/>
      </w:r>
      <w:r>
        <w:br/>
      </w:r>
      <w:r>
        <w:br/>
      </w:r>
    </w:p>
    <w:p>
      <w:pPr>
        <w:pStyle w:val="null3"/>
        <w:jc w:val="center"/>
        <w:outlineLvl w:val="2"/>
      </w:pPr>
      <w:r>
        <w:rPr>
          <w:rFonts w:ascii="仿宋_GB2312" w:hAnsi="仿宋_GB2312" w:cs="仿宋_GB2312" w:eastAsia="仿宋_GB2312"/>
          <w:sz w:val="28"/>
          <w:b/>
        </w:rPr>
        <w:t>西安市周至县田惠渠管理站</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西安市周至县田惠渠管理站</w:t>
      </w:r>
      <w:r>
        <w:rPr>
          <w:rFonts w:ascii="仿宋_GB2312" w:hAnsi="仿宋_GB2312" w:cs="仿宋_GB2312" w:eastAsia="仿宋_GB2312"/>
        </w:rPr>
        <w:t>委托，拟对</w:t>
      </w:r>
      <w:r>
        <w:rPr>
          <w:rFonts w:ascii="仿宋_GB2312" w:hAnsi="仿宋_GB2312" w:cs="仿宋_GB2312" w:eastAsia="仿宋_GB2312"/>
        </w:rPr>
        <w:t>周至县耿峪河耿西村段水毁修复工程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YC2531200115-ZFCG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周至县耿峪河耿西村段水毁修复工程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对耿峪河耿西村段13处水毁进行修复，修建护岸421.2m,其中左岸369.6m,右岸51.6m。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采购包1（周至县耿峪河耿西村段水毁修复工程）：属于专门面向中小企业采购。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2、法定代表人授权委托书：法定代表人授权委托书（附法定代表人、被授权人身份证复印件并加盖公章）。（法定代表人参加投标只须提供法定代表人身份证明书及加盖单位公章的身份证复印件）；</w:t>
      </w:r>
    </w:p>
    <w:p>
      <w:pPr>
        <w:pStyle w:val="null3"/>
      </w:pPr>
      <w:r>
        <w:rPr>
          <w:rFonts w:ascii="仿宋_GB2312" w:hAnsi="仿宋_GB2312" w:cs="仿宋_GB2312" w:eastAsia="仿宋_GB2312"/>
        </w:rPr>
        <w:t>3、企业资质：供应商具备水利水电工程施工总承包三级以上(含三级)资质，具有有效的安全生产许可证；</w:t>
      </w:r>
    </w:p>
    <w:p>
      <w:pPr>
        <w:pStyle w:val="null3"/>
      </w:pPr>
      <w:r>
        <w:rPr>
          <w:rFonts w:ascii="仿宋_GB2312" w:hAnsi="仿宋_GB2312" w:cs="仿宋_GB2312" w:eastAsia="仿宋_GB2312"/>
        </w:rPr>
        <w:t>4、项目经理：拟派项目负责人须具备有效的水利水电工程专业二级（含二级）以上建造师注册证，具备水行政主管部门颁发的安全生产考核合格证（B证），且在本单位注册，无在建工程；</w:t>
      </w:r>
    </w:p>
    <w:p>
      <w:pPr>
        <w:pStyle w:val="null3"/>
      </w:pPr>
      <w:r>
        <w:rPr>
          <w:rFonts w:ascii="仿宋_GB2312" w:hAnsi="仿宋_GB2312" w:cs="仿宋_GB2312" w:eastAsia="仿宋_GB2312"/>
        </w:rPr>
        <w:t>5、企业信誉：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6、单位负责人为同一人或者存在直接控股、管理关系的不同供应商：单位负责人为同一人或者存在直接控股、管理关系的不同供应商，不得参与同一合同项下的政府采购活动；</w:t>
      </w:r>
    </w:p>
    <w:p>
      <w:pPr>
        <w:pStyle w:val="null3"/>
      </w:pPr>
      <w:r>
        <w:rPr>
          <w:rFonts w:ascii="仿宋_GB2312" w:hAnsi="仿宋_GB2312" w:cs="仿宋_GB2312" w:eastAsia="仿宋_GB2312"/>
        </w:rPr>
        <w:t>7、是否接受联合体磋商：本项目不接受联合体磋商。</w:t>
      </w:r>
    </w:p>
    <w:p>
      <w:pPr>
        <w:pStyle w:val="null3"/>
      </w:pPr>
      <w:r>
        <w:rPr>
          <w:rFonts w:ascii="仿宋_GB2312" w:hAnsi="仿宋_GB2312" w:cs="仿宋_GB2312" w:eastAsia="仿宋_GB2312"/>
        </w:rPr>
        <w:t>8、是否面向中小企业：本项目为专门面向中小企业采购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西安市周至县田惠渠管理站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周至县九峰镇耿西村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西安市周至县田惠渠管理站经办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13992862868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代理服务费收费标准：招标代理服务费依据计价格[2002]1980号文和发改价格[2011]534号文收费标准收取。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西安市周至县田惠渠管理站</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西安市周至县田惠渠管理站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西安市周至县田惠渠管理站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1,095,300.00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周至县耿西河耿西村段水毁修复工程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标的名称：周至县耿西河耿西村段水毁修复工程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主要建设内容</w:t>
            </w:r>
          </w:p>
        </w:tc>
        <w:tc>
          <w:tcPr>
            <w:tcW w:type="dxa" w:w="2076"/>
          </w:tcPr>
          <w:p>
            <w:pPr>
              <w:pStyle w:val="null3"/>
            </w:pPr>
            <w:r>
              <w:rPr>
                <w:rFonts w:ascii="仿宋_GB2312" w:hAnsi="仿宋_GB2312" w:cs="仿宋_GB2312" w:eastAsia="仿宋_GB2312"/>
              </w:rPr>
              <w:t>对耿峪河耿西村段13处水毁进行修复，修建护岸421.2m,其中左岸369.6m,右岸51.6m。</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主要工程量</w:t>
            </w:r>
          </w:p>
        </w:tc>
        <w:tc>
          <w:tcPr>
            <w:tcW w:type="dxa" w:w="2076"/>
          </w:tcPr>
          <w:p>
            <w:pPr>
              <w:pStyle w:val="null3"/>
            </w:pPr>
            <w:r>
              <w:rPr>
                <w:rFonts w:ascii="仿宋_GB2312" w:hAnsi="仿宋_GB2312" w:cs="仿宋_GB2312" w:eastAsia="仿宋_GB2312"/>
              </w:rPr>
              <w:t>砂砾石回填约4914.63m³,M.5浆砌石约195m³,混凝土浇筑约1448.1m³（具体内容详见工程量清单）</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工期及最高限价说明</w:t>
            </w:r>
          </w:p>
        </w:tc>
        <w:tc>
          <w:tcPr>
            <w:tcW w:type="dxa" w:w="2076"/>
          </w:tcPr>
          <w:p>
            <w:pPr>
              <w:pStyle w:val="null3"/>
              <w:ind w:firstLine="480"/>
            </w:pPr>
            <w:r>
              <w:rPr>
                <w:rFonts w:ascii="仿宋_GB2312" w:hAnsi="仿宋_GB2312" w:cs="仿宋_GB2312" w:eastAsia="仿宋_GB2312"/>
              </w:rPr>
              <w:t>工期：</w:t>
            </w:r>
            <w:r>
              <w:rPr>
                <w:rFonts w:ascii="仿宋_GB2312" w:hAnsi="仿宋_GB2312" w:cs="仿宋_GB2312" w:eastAsia="仿宋_GB2312"/>
              </w:rPr>
              <w:t>80日历天</w:t>
            </w:r>
          </w:p>
          <w:p>
            <w:pPr>
              <w:pStyle w:val="null3"/>
              <w:ind w:firstLine="480"/>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1095300.00</w:t>
            </w:r>
            <w:r>
              <w:rPr>
                <w:rFonts w:ascii="仿宋_GB2312" w:hAnsi="仿宋_GB2312" w:cs="仿宋_GB2312" w:eastAsia="仿宋_GB2312"/>
              </w:rPr>
              <w:t>（其中：预备费用为45400.00元、水土保持费15000.00元、环境保护费10000.00元均为不可竞争费用）。</w:t>
            </w:r>
          </w:p>
          <w:p>
            <w:pPr>
              <w:pStyle w:val="null3"/>
              <w:ind w:firstLine="480"/>
            </w:pPr>
            <w:r>
              <w:rPr>
                <w:rFonts w:ascii="仿宋_GB2312" w:hAnsi="仿宋_GB2312" w:cs="仿宋_GB2312" w:eastAsia="仿宋_GB2312"/>
              </w:rPr>
              <w:t>施工单位必须为本项目购买安全生产责任保险（简称“安责险”），以保障在施工过程中可能发生的生产安全事故导致的人员伤亡和相关经济损失。根据水利部颁布的《水利工程设计概算编制规定》和《水利工程工程量清单计价规范》（GB50501—2007），水利工程的单价分析表中包含安全措施费用。安责险作为安全措施的一部分，其费用已包含在这些安全措施费用中。</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达到国家施工规范验收“合格”标准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符合竞争性磋商文件要求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一、工程概况：周至县耿峪河耿西村段水毁修复工程。 二、编制原则：本预算根据水利部办公厅关于调整水利工程计价依据增值税计算标准的通知办财务函〔2019〕448号、本项目投资概算和设计图纸进行编制。 三、编制依据及内容 1.工程工程量计价规范GB50501-2007；2009水利水电清单； 2.《陕西省水利工程设计概（估）算编制规定》 3.《陕西省水利建筑工程概算定额》 4.《陕西省水利设备安装工程概算定额》 5.《陕西省水利建筑工程预算定额》 6.《陕西省水利设备安装工程预算定额》 7.《陕西省水利工程施工机械台班费定额》 8.《陕西省水利水电工程营改增计价依据调整办法》陕发改投资（2016）1303号； 9.《陕西省发展和改革委员会关于《陕西省水利工程设计概(估)算编制规定》《陕西省水利建筑工程概算定额》等计价依据的批复》陕发改项目〔2017〕1606号； 10.陕西省水利厅&lt;关于发布试行《陕西省水利工程设计概（估）算编制规定》《陕西省水利建筑工程概算定额》等计价依据的通知&gt;陕水规计发【2019】66号文件 11.《水利部办公厅关于调整水利工程计价依据增值税计算标准的通知》办财务函〔2019〕448号； 12.项目投资概算及设计图纸； 四、基础单价 1.人工预算单价 根据陕西省陕水规计发[2019]66 号文发布的《陕西省水利水电工程设计概（估）算编制规定》，人工预算单价为：技工75元/工日，普工50元/工日。 2.主要材料预算价格和规定价格 主要材料价格=[主要材料原价+（运杂基本费×装载效能综合系数）]×（1+采购保管费费率）+运输保险费 依照《水利部办公厅关于调整水利工程计价依据增值税计算标准的通知》（办财务函[2019]448号）文件，主要材料原价采用不含增值税进项税额的价格。 主要材料原价=主要材料市场价（含增值税进项税额）÷调整系数。 3.其他直接费依据《陕西水利工程设计概（估）算编制规定》（陕发改项目[2017]1606号），建筑工程按基本直接费7.40%计算，安装工程按基本直接费6.79%计算，砂石备料工程其他直接费费率为0.5%计算。 4.间接费依据《陕西水利工程设计概（估）算编制规定》（陕发改项目[2017]1606号），具体内容详见附件： 5.利润依据《陕西水利工程设计概（估）算编制规定》（陕发改项目[2017]1606号））按5%计算。 6.税金依据《陕西水利工程设计概（估）算编制规定》（陕发改项目[2017]1606号）按9%计算。 五、其他说明 1.其他施工临时工程费率为2%； 2.暂列金：按45400.00元计入； 3.水土保持费：按15000.00元计入； 4.环境保持费：按10000.00元计入； 3.软件版本：天宇e算陕西省水利水电工程造价软件V1.2.6（202404-01）.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有独立承担民事责任能力的法人、其他组织或自然人，投标人是法人或其他组织的应提供营业执照等证明文件，自然人的提供有效的自然人身份证明；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法定代表人授权委托书（附法定代表人、被授权人身份证复印件并加盖公章）。（法定代表人参加投标只须提供法定代表人身份证明书及加盖单位公章的身份证复印件）；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供应商具备水利水电工程施工总承包三级以上(含三级)资质，具有有效的安全生产许可证；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拟派项目负责人须具备有效的水利水电工程专业二级（含二级）以上建造师注册证，具备水行政主管部门颁发的安全生产考核合格证（B证），且在本单位注册，无在建工程；</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相关资格证明材料.docx 响应方案.docx 响应文件封面 分项报价表.docx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已标价工程量清单 分项报价表.docx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应满足磋商文件中的工期要求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1、对本项目特性了解透彻，施工方案、方法与技术措施内容全面，方案先进、经济与项目实际结合紧密，对施工具有高度指导性，得8分；2、对项目特性了解较好，施工组织设计方案基本可行，得5分；3、施工方案内容不完整不详细不具体不能满足磋商文件要求，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1、质量目标明确，管理体系健全，预控和动态控制措施完整，实施工艺、手段先进、可靠、科学，管理体系和组织措施功能完善、管理幅度适宜，得8分；2、质量目标基本明确，控制措施基本全面，得5分；3、管理体系不完整不具体，措施过于简单，可行性较差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1、安全生产目标明确，预防和动态控制措施及制度完整、到位，管理体系和组织措施功能完善，得8分；2、安全生产目标基本明确，控制措施基本全面得5分；3、安全体系不完整不具体，控制措施过于简单，可行性较差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1、环境保护、水土保持目标明确，预防和动态控制措施及制度完整、到位，管理体系和组织措施功能完善得8分；2、目标基本明确，控制措施基本全面得5分；3、环境保护体系不完整不具体，控制措施过于简单，可行性较差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1、工期满足磋商文件要求、进度计划有横道图且工期控制合理，工期保障措施完善合理得8分；2、总工期满足招标文件要求、进度计划有横道图，工期控制基本合理，保障措施一般得5分；3、总工期满足招标文件要求，无进度计划横道图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1、设备配备、劳动力配备、资金配备科学性、合理性、可行性高，满足本工程要求得9分；2、设备配备、劳动力配备、资金配备科学性、合理性、可行性一般得6分；3、设备配备、劳动力配备、资金配备科学性、合理性、可行性较差得3分；4、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主要专业技术人员、管理人员的配备：项目经理部的机构设置合理，配备有技术总工、施工员、专职质检员、安全员、材料员、造价员等管理人员，满足工程需要者得6分；技术总工、施工员、专职质检员、安全员、材料员、造价员等岗位任意一项不满足要求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供应商近3年(自2022年1月1日至今以合同签订日期为准)类似项目业绩，每提供一个业绩得2分，最多得10分；（须附类似项目业绩合同的复印件或扫描件，并加盖公章）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投标人在项目实施阶段及完成后所承诺的责任、服务内容，并针对本项目实际需求提供实质性服务承诺，确有利于本次招标，服务内容全面合理，实施性强计5分；2、内容不全面、实施性、可行性较差计3分；3、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 磋商报价得分=(磋商基准价／最后磋商报价)×价格分值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