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版本号：XBZB-2025-05020250430001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鄠周眉高速对黑河多鳞铲颌鱼国家级水产种质资源保护区影响水生生态保护项目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XBZB-2025-050</w:t>
      </w:r>
      <w:r>
        <w:br/>
      </w:r>
      <w:r>
        <w:br/>
      </w:r>
      <w:r>
        <w:br/>
      </w:r>
    </w:p>
    <w:p>
      <w:pPr>
        <w:pStyle w:val="null3"/>
        <w:jc w:val="center"/>
        <w:outlineLvl w:val="2"/>
      </w:pPr>
      <w:r>
        <w:rPr>
          <w:rFonts w:ascii="仿宋_GB2312" w:hAnsi="仿宋_GB2312" w:cs="仿宋_GB2312" w:eastAsia="仿宋_GB2312"/>
          <w:sz w:val="28"/>
          <w:b/>
        </w:rPr>
        <w:t>西安市周至县农业局（本级）</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西安市周至县农业局（本级）</w:t>
      </w:r>
      <w:r>
        <w:rPr>
          <w:rFonts w:ascii="仿宋_GB2312" w:hAnsi="仿宋_GB2312" w:cs="仿宋_GB2312" w:eastAsia="仿宋_GB2312"/>
        </w:rPr>
        <w:t>委托，拟对</w:t>
      </w:r>
      <w:r>
        <w:rPr>
          <w:rFonts w:ascii="仿宋_GB2312" w:hAnsi="仿宋_GB2312" w:cs="仿宋_GB2312" w:eastAsia="仿宋_GB2312"/>
        </w:rPr>
        <w:t>鄠周眉高速对黑河多鳞铲颌鱼国家级水产种质资源保护区影响水生生态保护项目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XBZB-2025-050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鄠周眉高速对黑河多鳞铲颌鱼国家级水产种质资源保护区影响水生生态保护项目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鄠周眉高速对黑河多鳞铲颌鱼国家级水产种质资源保护区影响水生生态保护项目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采购包1（资源环境监测+专项培训）：属于专门面向中小企业采购。</w:t>
      </w:r>
    </w:p>
    <w:p>
      <w:pPr>
        <w:pStyle w:val="null3"/>
      </w:pPr>
      <w:r>
        <w:rPr>
          <w:rFonts w:ascii="仿宋_GB2312" w:hAnsi="仿宋_GB2312" w:cs="仿宋_GB2312" w:eastAsia="仿宋_GB2312"/>
        </w:rPr>
        <w:t>采购包2（栖息地生境修复+生态保护宣贯）：属于专门面向中小企业采购。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陕西省西安市周至县二曲街办老城东街108号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18729596586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陕西省西安市碑林区长安国际中心F座办公楼17层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p>
          <w:p>
            <w:pPr>
              <w:pStyle w:val="null3"/>
            </w:pPr>
            <w:r>
              <w:rPr>
                <w:rFonts w:ascii="仿宋_GB2312" w:hAnsi="仿宋_GB2312" w:cs="仿宋_GB2312" w:eastAsia="仿宋_GB2312"/>
              </w:rPr>
              <w:t>采购包2：287,000.00元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 成交单位在领取成交通知书前，须向采购代理机构一次性支付代理服务费。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西安市周至县农业局（本级）</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地址：陕西省西安市碑林区长安国际中心F座办公楼17层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鄠周眉高速对黑河多鳞铲颌鱼国家级水产种质资源保护区影响水生生态保护项目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资源环境监测+专项培训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287,000.00</w:t>
      </w:r>
    </w:p>
    <w:p>
      <w:pPr>
        <w:pStyle w:val="null3"/>
      </w:pPr>
      <w:r>
        <w:rPr>
          <w:rFonts w:ascii="仿宋_GB2312" w:hAnsi="仿宋_GB2312" w:cs="仿宋_GB2312" w:eastAsia="仿宋_GB2312"/>
        </w:rPr>
        <w:t>采购包最高限价（元）: 287,000.00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栖息地生境修复+生态保护宣贯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标的名称：资源环境监测+专项培训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18"/>
              </w:rPr>
              <w:t>一、资源环境监测</w:t>
            </w:r>
          </w:p>
          <w:p>
            <w:pPr>
              <w:pStyle w:val="null3"/>
              <w:ind w:firstLine="480"/>
              <w:jc w:val="both"/>
            </w:pPr>
            <w:r>
              <w:rPr>
                <w:rFonts w:ascii="仿宋_GB2312" w:hAnsi="仿宋_GB2312" w:cs="仿宋_GB2312" w:eastAsia="仿宋_GB2312"/>
                <w:sz w:val="18"/>
              </w:rPr>
              <w:t>1.监测内容包括：</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1）非生物环境要素监测：水质、底质、水生生物体残留。</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2）生物要素监测：浮游动植物、底栖生物、鱼类种类、鱼类种群结构、鱼类资源量、珍稀濒危野生动物及其重要生境等。</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3）重点监测：保护区主要保护对象及濒危保护鱼类繁殖及其资源量变化。主要监测内容和指标具体见下表</w:t>
            </w:r>
          </w:p>
          <w:p>
            <w:pPr>
              <w:pStyle w:val="null3"/>
              <w:ind w:firstLine="422"/>
              <w:jc w:val="center"/>
            </w:pPr>
            <w:r>
              <w:rPr>
                <w:rFonts w:ascii="仿宋_GB2312" w:hAnsi="仿宋_GB2312" w:cs="仿宋_GB2312" w:eastAsia="仿宋_GB2312"/>
                <w:sz w:val="18"/>
                <w:b/>
              </w:rPr>
              <w:t>主要监测内容和指标</w:t>
            </w:r>
          </w:p>
          <w:tbl>
            <w:tblPr>
              <w:tblInd w:type="dxa" w:w="120"/>
              <w:tblBorders>
                <w:top w:val="none" w:color="000000" w:sz="4"/>
                <w:left w:val="none" w:color="000000" w:sz="4"/>
                <w:bottom w:val="none" w:color="000000" w:sz="4"/>
                <w:right w:val="none" w:color="000000" w:sz="4"/>
                <w:insideH w:val="none"/>
                <w:insideV w:val="none"/>
              </w:tblBorders>
            </w:tblPr>
            <w:tblGrid>
              <w:gridCol w:w="744"/>
              <w:gridCol w:w="609"/>
              <w:gridCol w:w="597"/>
              <w:gridCol w:w="603"/>
            </w:tblGrid>
            <w:tr>
              <w:tc>
                <w:tcPr>
                  <w:tcW w:type="dxa" w:w="7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河流</w:t>
                  </w:r>
                </w:p>
              </w:tc>
              <w:tc>
                <w:tcPr>
                  <w:tcW w:type="dxa" w:w="60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频次</w:t>
                  </w:r>
                </w:p>
              </w:tc>
              <w:tc>
                <w:tcPr>
                  <w:tcW w:type="dxa" w:w="59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断面数量</w:t>
                  </w:r>
                </w:p>
              </w:tc>
              <w:tc>
                <w:tcPr>
                  <w:tcW w:type="dxa" w:w="60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年限</w:t>
                  </w:r>
                </w:p>
              </w:tc>
            </w:tr>
            <w:tr>
              <w:tc>
                <w:tcPr>
                  <w:tcW w:type="dxa" w:w="7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黑河</w:t>
                  </w:r>
                </w:p>
              </w:tc>
              <w:tc>
                <w:tcPr>
                  <w:tcW w:type="dxa" w:w="609"/>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1次/年</w:t>
                  </w:r>
                </w:p>
              </w:tc>
              <w:tc>
                <w:tcPr>
                  <w:tcW w:type="dxa" w:w="597"/>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w:t>
                  </w:r>
                </w:p>
              </w:tc>
              <w:tc>
                <w:tcPr>
                  <w:tcW w:type="dxa" w:w="603"/>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5年</w:t>
                  </w:r>
                </w:p>
              </w:tc>
            </w:tr>
            <w:tr>
              <w:tc>
                <w:tcPr>
                  <w:tcW w:type="dxa" w:w="744"/>
                  <w:vMerge/>
                  <w:tcBorders>
                    <w:top w:val="none" w:color="000000" w:sz="4"/>
                    <w:left w:val="single" w:color="000000" w:sz="4"/>
                    <w:bottom w:val="single" w:color="000000" w:sz="4"/>
                    <w:right w:val="single" w:color="000000" w:sz="4"/>
                  </w:tcBorders>
                </w:tcPr>
                <w:p/>
              </w:tc>
              <w:tc>
                <w:tcPr>
                  <w:tcW w:type="dxa" w:w="609"/>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c>
                <w:tcPr>
                  <w:tcW w:type="dxa" w:w="603"/>
                  <w:vMerge/>
                  <w:tcBorders>
                    <w:top w:val="none" w:color="000000" w:sz="4"/>
                    <w:left w:val="none" w:color="000000" w:sz="4"/>
                    <w:bottom w:val="none" w:color="000000" w:sz="4"/>
                    <w:right w:val="single" w:color="000000" w:sz="4"/>
                  </w:tcBorders>
                </w:tcPr>
                <w:p/>
              </w:tc>
            </w:tr>
            <w:tr>
              <w:tc>
                <w:tcPr>
                  <w:tcW w:type="dxa" w:w="7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就峪河</w:t>
                  </w:r>
                </w:p>
              </w:tc>
              <w:tc>
                <w:tcPr>
                  <w:tcW w:type="dxa" w:w="609"/>
                  <w:vMerge/>
                  <w:tcBorders>
                    <w:top w:val="none" w:color="000000" w:sz="4"/>
                    <w:left w:val="none" w:color="000000" w:sz="4"/>
                    <w:bottom w:val="single" w:color="000000" w:sz="4"/>
                    <w:right w:val="single" w:color="000000" w:sz="4"/>
                  </w:tcBorders>
                </w:tcPr>
                <w:p/>
              </w:tc>
              <w:tc>
                <w:tcPr>
                  <w:tcW w:type="dxa" w:w="597"/>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603"/>
                  <w:vMerge/>
                  <w:tcBorders>
                    <w:top w:val="none" w:color="000000" w:sz="4"/>
                    <w:left w:val="none" w:color="000000" w:sz="4"/>
                    <w:bottom w:val="none" w:color="000000" w:sz="4"/>
                    <w:right w:val="single" w:color="000000" w:sz="4"/>
                  </w:tcBorders>
                </w:tcPr>
                <w:p/>
              </w:tc>
            </w:tr>
            <w:tr>
              <w:tc>
                <w:tcPr>
                  <w:tcW w:type="dxa" w:w="744"/>
                  <w:vMerge/>
                  <w:tcBorders>
                    <w:top w:val="none" w:color="000000" w:sz="4"/>
                    <w:left w:val="single" w:color="000000" w:sz="4"/>
                    <w:bottom w:val="single" w:color="000000" w:sz="4"/>
                    <w:right w:val="single" w:color="000000" w:sz="4"/>
                  </w:tcBorders>
                </w:tcPr>
                <w:p/>
              </w:tc>
              <w:tc>
                <w:tcPr>
                  <w:tcW w:type="dxa" w:w="609"/>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c>
                <w:tcPr>
                  <w:tcW w:type="dxa" w:w="603"/>
                  <w:vMerge/>
                  <w:tcBorders>
                    <w:top w:val="none" w:color="000000" w:sz="4"/>
                    <w:left w:val="none" w:color="000000" w:sz="4"/>
                    <w:bottom w:val="none" w:color="000000" w:sz="4"/>
                    <w:right w:val="single" w:color="000000" w:sz="4"/>
                  </w:tcBorders>
                </w:tcPr>
                <w:p/>
              </w:tc>
            </w:tr>
            <w:tr>
              <w:tc>
                <w:tcPr>
                  <w:tcW w:type="dxa" w:w="7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田峪河</w:t>
                  </w:r>
                </w:p>
              </w:tc>
              <w:tc>
                <w:tcPr>
                  <w:tcW w:type="dxa" w:w="609"/>
                  <w:vMerge/>
                  <w:tcBorders>
                    <w:top w:val="none" w:color="000000" w:sz="4"/>
                    <w:left w:val="none" w:color="000000" w:sz="4"/>
                    <w:bottom w:val="single" w:color="000000" w:sz="4"/>
                    <w:right w:val="single" w:color="000000" w:sz="4"/>
                  </w:tcBorders>
                </w:tcPr>
                <w:p/>
              </w:tc>
              <w:tc>
                <w:tcPr>
                  <w:tcW w:type="dxa" w:w="597"/>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603"/>
                  <w:vMerge/>
                  <w:tcBorders>
                    <w:top w:val="none" w:color="000000" w:sz="4"/>
                    <w:left w:val="none" w:color="000000" w:sz="4"/>
                    <w:bottom w:val="none" w:color="000000" w:sz="4"/>
                    <w:right w:val="single" w:color="000000" w:sz="4"/>
                  </w:tcBorders>
                </w:tcPr>
                <w:p/>
              </w:tc>
            </w:tr>
            <w:tr>
              <w:tc>
                <w:tcPr>
                  <w:tcW w:type="dxa" w:w="744"/>
                  <w:vMerge/>
                  <w:tcBorders>
                    <w:top w:val="none" w:color="000000" w:sz="4"/>
                    <w:left w:val="single" w:color="000000" w:sz="4"/>
                    <w:bottom w:val="single" w:color="000000" w:sz="4"/>
                    <w:right w:val="single" w:color="000000" w:sz="4"/>
                  </w:tcBorders>
                </w:tcPr>
                <w:p/>
              </w:tc>
              <w:tc>
                <w:tcPr>
                  <w:tcW w:type="dxa" w:w="609"/>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c>
                <w:tcPr>
                  <w:tcW w:type="dxa" w:w="603"/>
                  <w:vMerge/>
                  <w:tcBorders>
                    <w:top w:val="none" w:color="000000" w:sz="4"/>
                    <w:left w:val="none" w:color="000000" w:sz="4"/>
                    <w:bottom w:val="none" w:color="000000" w:sz="4"/>
                    <w:right w:val="single" w:color="000000" w:sz="4"/>
                  </w:tcBorders>
                </w:tcPr>
                <w:p/>
              </w:tc>
            </w:tr>
            <w:tr>
              <w:tc>
                <w:tcPr>
                  <w:tcW w:type="dxa" w:w="7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赤峪河</w:t>
                  </w:r>
                </w:p>
              </w:tc>
              <w:tc>
                <w:tcPr>
                  <w:tcW w:type="dxa" w:w="609"/>
                  <w:vMerge/>
                  <w:tcBorders>
                    <w:top w:val="none" w:color="000000" w:sz="4"/>
                    <w:left w:val="none" w:color="000000" w:sz="4"/>
                    <w:bottom w:val="single" w:color="000000" w:sz="4"/>
                    <w:right w:val="single" w:color="000000" w:sz="4"/>
                  </w:tcBorders>
                </w:tcPr>
                <w:p/>
              </w:tc>
              <w:tc>
                <w:tcPr>
                  <w:tcW w:type="dxa" w:w="597"/>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603"/>
                  <w:vMerge/>
                  <w:tcBorders>
                    <w:top w:val="none" w:color="000000" w:sz="4"/>
                    <w:left w:val="none" w:color="000000" w:sz="4"/>
                    <w:bottom w:val="none" w:color="000000" w:sz="4"/>
                    <w:right w:val="single" w:color="000000" w:sz="4"/>
                  </w:tcBorders>
                </w:tcPr>
                <w:p/>
              </w:tc>
            </w:tr>
            <w:tr>
              <w:tc>
                <w:tcPr>
                  <w:tcW w:type="dxa" w:w="744"/>
                  <w:vMerge/>
                  <w:tcBorders>
                    <w:top w:val="none" w:color="000000" w:sz="4"/>
                    <w:left w:val="single" w:color="000000" w:sz="4"/>
                    <w:bottom w:val="single" w:color="000000" w:sz="4"/>
                    <w:right w:val="single" w:color="000000" w:sz="4"/>
                  </w:tcBorders>
                </w:tcPr>
                <w:p/>
              </w:tc>
              <w:tc>
                <w:tcPr>
                  <w:tcW w:type="dxa" w:w="609"/>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c>
                <w:tcPr>
                  <w:tcW w:type="dxa" w:w="603"/>
                  <w:vMerge/>
                  <w:tcBorders>
                    <w:top w:val="none" w:color="000000" w:sz="4"/>
                    <w:left w:val="none" w:color="000000" w:sz="4"/>
                    <w:bottom w:val="none" w:color="000000" w:sz="4"/>
                    <w:right w:val="single" w:color="000000" w:sz="4"/>
                  </w:tcBorders>
                </w:tcPr>
                <w:p/>
              </w:tc>
            </w:tr>
            <w:tr>
              <w:tc>
                <w:tcPr>
                  <w:tcW w:type="dxa" w:w="7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沙河</w:t>
                  </w:r>
                </w:p>
              </w:tc>
              <w:tc>
                <w:tcPr>
                  <w:tcW w:type="dxa" w:w="609"/>
                  <w:vMerge/>
                  <w:tcBorders>
                    <w:top w:val="none" w:color="000000" w:sz="4"/>
                    <w:left w:val="none" w:color="000000" w:sz="4"/>
                    <w:bottom w:val="single" w:color="000000" w:sz="4"/>
                    <w:right w:val="single" w:color="000000" w:sz="4"/>
                  </w:tcBorders>
                </w:tcPr>
                <w:p/>
              </w:tc>
              <w:tc>
                <w:tcPr>
                  <w:tcW w:type="dxa" w:w="597"/>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603"/>
                  <w:vMerge/>
                  <w:tcBorders>
                    <w:top w:val="none" w:color="000000" w:sz="4"/>
                    <w:left w:val="none" w:color="000000" w:sz="4"/>
                    <w:bottom w:val="none" w:color="000000" w:sz="4"/>
                    <w:right w:val="single" w:color="000000" w:sz="4"/>
                  </w:tcBorders>
                </w:tcPr>
                <w:p/>
              </w:tc>
            </w:tr>
            <w:tr>
              <w:tc>
                <w:tcPr>
                  <w:tcW w:type="dxa" w:w="744"/>
                  <w:vMerge/>
                  <w:tcBorders>
                    <w:top w:val="none" w:color="000000" w:sz="4"/>
                    <w:left w:val="single" w:color="000000" w:sz="4"/>
                    <w:bottom w:val="single" w:color="000000" w:sz="4"/>
                    <w:right w:val="single" w:color="000000" w:sz="4"/>
                  </w:tcBorders>
                </w:tcPr>
                <w:p/>
              </w:tc>
              <w:tc>
                <w:tcPr>
                  <w:tcW w:type="dxa" w:w="609"/>
                  <w:vMerge/>
                  <w:tcBorders>
                    <w:top w:val="none" w:color="000000" w:sz="4"/>
                    <w:left w:val="none" w:color="000000" w:sz="4"/>
                    <w:bottom w:val="single" w:color="000000" w:sz="4"/>
                    <w:right w:val="single" w:color="000000" w:sz="4"/>
                  </w:tcBorders>
                </w:tcPr>
                <w:p/>
              </w:tc>
              <w:tc>
                <w:tcPr>
                  <w:tcW w:type="dxa" w:w="597"/>
                  <w:vMerge/>
                  <w:tcBorders>
                    <w:top w:val="none" w:color="000000" w:sz="4"/>
                    <w:left w:val="none" w:color="000000" w:sz="4"/>
                    <w:bottom w:val="single" w:color="000000" w:sz="4"/>
                    <w:right w:val="single" w:color="000000" w:sz="4"/>
                  </w:tcBorders>
                </w:tcPr>
                <w:p/>
              </w:tc>
              <w:tc>
                <w:tcPr>
                  <w:tcW w:type="dxa" w:w="603"/>
                  <w:vMerge/>
                  <w:tcBorders>
                    <w:top w:val="none" w:color="000000" w:sz="4"/>
                    <w:left w:val="none" w:color="000000" w:sz="4"/>
                    <w:bottom w:val="none" w:color="000000" w:sz="4"/>
                    <w:right w:val="single" w:color="000000" w:sz="4"/>
                  </w:tcBorders>
                </w:tc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bl>
            <w:tblPr>
              <w:tblInd w:type="dxa" w:w="120"/>
              <w:tblBorders>
                <w:top w:val="none" w:color="000000" w:sz="4"/>
                <w:left w:val="none" w:color="000000" w:sz="4"/>
                <w:bottom w:val="none" w:color="000000" w:sz="4"/>
                <w:right w:val="none" w:color="000000" w:sz="4"/>
                <w:insideH w:val="none"/>
                <w:insideV w:val="none"/>
              </w:tblBorders>
            </w:tblPr>
            <w:tblGrid>
              <w:gridCol w:w="708"/>
              <w:gridCol w:w="1302"/>
              <w:gridCol w:w="543"/>
            </w:tblGrid>
            <w:tr>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类别</w:t>
                  </w:r>
                </w:p>
              </w:tc>
              <w:tc>
                <w:tcPr>
                  <w:tcW w:type="dxa" w:w="1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项目</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指标体系</w:t>
                  </w:r>
                </w:p>
              </w:tc>
            </w:tr>
            <w:tr>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非生物因子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水温、流速、底质、溶氧等</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绝对值</w:t>
                  </w:r>
                </w:p>
              </w:tc>
            </w:tr>
            <w:tr>
              <w:tc>
                <w:tcPr>
                  <w:tcW w:type="dxa" w:w="7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生物因子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浮游植物</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种类、密度、生物量、生物多样性</w:t>
                  </w:r>
                </w:p>
              </w:tc>
            </w:tr>
            <w:tr>
              <w:tc>
                <w:tcPr>
                  <w:tcW w:type="dxa" w:w="708"/>
                  <w:vMerge/>
                  <w:tcBorders>
                    <w:top w:val="none" w:color="000000" w:sz="4"/>
                    <w:left w:val="single" w:color="000000" w:sz="4"/>
                    <w:bottom w:val="single" w:color="000000" w:sz="4"/>
                    <w:right w:val="single" w:color="000000" w:sz="4"/>
                  </w:tcBorders>
                </w:tcP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浮游动物</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种类、密度、生物量、生物多样性</w:t>
                  </w:r>
                </w:p>
              </w:tc>
            </w:tr>
            <w:tr>
              <w:tc>
                <w:tcPr>
                  <w:tcW w:type="dxa" w:w="708"/>
                  <w:vMerge/>
                  <w:tcBorders>
                    <w:top w:val="none" w:color="000000" w:sz="4"/>
                    <w:left w:val="single" w:color="000000" w:sz="4"/>
                    <w:bottom w:val="single" w:color="000000" w:sz="4"/>
                    <w:right w:val="single" w:color="000000" w:sz="4"/>
                  </w:tcBorders>
                </w:tcP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底栖动物</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种类、密度、生物量、生物多样性</w:t>
                  </w:r>
                </w:p>
              </w:tc>
            </w:tr>
            <w:tr>
              <w:tc>
                <w:tcPr>
                  <w:tcW w:type="dxa" w:w="708"/>
                  <w:vMerge/>
                  <w:tcBorders>
                    <w:top w:val="none" w:color="000000" w:sz="4"/>
                    <w:left w:val="single" w:color="000000" w:sz="4"/>
                    <w:bottom w:val="single" w:color="000000" w:sz="4"/>
                    <w:right w:val="single" w:color="000000" w:sz="4"/>
                  </w:tcBorders>
                </w:tcP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鱼类</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种类、渔获量、三场、生物多样性</w:t>
                  </w:r>
                </w:p>
              </w:tc>
            </w:tr>
          </w:tbl>
          <w:p>
            <w:pPr>
              <w:pStyle w:val="null3"/>
              <w:jc w:val="both"/>
            </w:pPr>
            <w:r>
              <w:rPr>
                <w:rFonts w:ascii="仿宋_GB2312" w:hAnsi="仿宋_GB2312" w:cs="仿宋_GB2312" w:eastAsia="仿宋_GB2312"/>
                <w:sz w:val="18"/>
              </w:rPr>
              <w:t>2.监测点位</w:t>
            </w:r>
          </w:p>
          <w:p>
            <w:pPr>
              <w:pStyle w:val="null3"/>
              <w:ind w:firstLine="480"/>
              <w:jc w:val="both"/>
            </w:pPr>
            <w:r>
              <w:rPr>
                <w:rFonts w:ascii="仿宋_GB2312" w:hAnsi="仿宋_GB2312" w:cs="仿宋_GB2312" w:eastAsia="仿宋_GB2312"/>
                <w:sz w:val="18"/>
              </w:rPr>
              <w:t>本项目监测目标明确，主要目的为监测施工活动对河流生态和资源的影响，主要为风险防控和管控服务，监测点位设置在每条河流穿越桥位位置。工程量较大的黑河设置点位</w:t>
            </w:r>
            <w:r>
              <w:rPr>
                <w:rFonts w:ascii="仿宋_GB2312" w:hAnsi="仿宋_GB2312" w:cs="仿宋_GB2312" w:eastAsia="仿宋_GB2312"/>
                <w:sz w:val="18"/>
              </w:rPr>
              <w:t>3</w:t>
            </w:r>
            <w:r>
              <w:rPr>
                <w:rFonts w:ascii="仿宋_GB2312" w:hAnsi="仿宋_GB2312" w:cs="仿宋_GB2312" w:eastAsia="仿宋_GB2312"/>
                <w:sz w:val="18"/>
              </w:rPr>
              <w:t>个，分别为桥位，桥下</w:t>
            </w:r>
            <w:r>
              <w:rPr>
                <w:rFonts w:ascii="仿宋_GB2312" w:hAnsi="仿宋_GB2312" w:cs="仿宋_GB2312" w:eastAsia="仿宋_GB2312"/>
                <w:sz w:val="18"/>
              </w:rPr>
              <w:t>1km</w:t>
            </w:r>
            <w:r>
              <w:rPr>
                <w:rFonts w:ascii="仿宋_GB2312" w:hAnsi="仿宋_GB2312" w:cs="仿宋_GB2312" w:eastAsia="仿宋_GB2312"/>
                <w:sz w:val="18"/>
              </w:rPr>
              <w:t>范围和桥上</w:t>
            </w:r>
            <w:r>
              <w:rPr>
                <w:rFonts w:ascii="仿宋_GB2312" w:hAnsi="仿宋_GB2312" w:cs="仿宋_GB2312" w:eastAsia="仿宋_GB2312"/>
                <w:sz w:val="18"/>
              </w:rPr>
              <w:t>0.5km</w:t>
            </w:r>
            <w:r>
              <w:rPr>
                <w:rFonts w:ascii="仿宋_GB2312" w:hAnsi="仿宋_GB2312" w:cs="仿宋_GB2312" w:eastAsia="仿宋_GB2312"/>
                <w:sz w:val="18"/>
              </w:rPr>
              <w:t>范围内。</w:t>
            </w:r>
          </w:p>
          <w:p>
            <w:pPr>
              <w:pStyle w:val="null3"/>
              <w:spacing w:before="120" w:after="120"/>
            </w:pPr>
            <w:r>
              <w:rPr>
                <w:rFonts w:ascii="仿宋_GB2312" w:hAnsi="仿宋_GB2312" w:cs="仿宋_GB2312" w:eastAsia="仿宋_GB2312"/>
                <w:sz w:val="18"/>
              </w:rPr>
              <w:t>3.监测时段和周期</w:t>
            </w:r>
          </w:p>
          <w:p>
            <w:pPr>
              <w:pStyle w:val="null3"/>
              <w:ind w:firstLine="480"/>
              <w:jc w:val="both"/>
            </w:pPr>
            <w:r>
              <w:rPr>
                <w:rFonts w:ascii="仿宋_GB2312" w:hAnsi="仿宋_GB2312" w:cs="仿宋_GB2312" w:eastAsia="仿宋_GB2312"/>
                <w:sz w:val="18"/>
              </w:rPr>
              <w:t>水生生物监测地点的断面设置主要根据保护区的功能完整性，水生生物重要栖息生境以及工程影响程度等来确定。断面的数量以能达到的反应工程影响范围水生生物现状的目的以及受影响保护对象的情况来确定。各监测点必须既要有共同的监测指标，又要有所侧重，以便为本河段的特殊监测项目服务。为此，拟设定</w:t>
            </w:r>
            <w:r>
              <w:rPr>
                <w:rFonts w:ascii="仿宋_GB2312" w:hAnsi="仿宋_GB2312" w:cs="仿宋_GB2312" w:eastAsia="仿宋_GB2312"/>
                <w:sz w:val="18"/>
              </w:rPr>
              <w:t>7</w:t>
            </w:r>
            <w:r>
              <w:rPr>
                <w:rFonts w:ascii="仿宋_GB2312" w:hAnsi="仿宋_GB2312" w:cs="仿宋_GB2312" w:eastAsia="仿宋_GB2312"/>
                <w:sz w:val="18"/>
              </w:rPr>
              <w:t>个监测断面；监测年限</w:t>
            </w:r>
            <w:r>
              <w:rPr>
                <w:rFonts w:ascii="仿宋_GB2312" w:hAnsi="仿宋_GB2312" w:cs="仿宋_GB2312" w:eastAsia="仿宋_GB2312"/>
                <w:sz w:val="18"/>
              </w:rPr>
              <w:t>为</w:t>
            </w:r>
            <w:r>
              <w:rPr>
                <w:rFonts w:ascii="仿宋_GB2312" w:hAnsi="仿宋_GB2312" w:cs="仿宋_GB2312" w:eastAsia="仿宋_GB2312"/>
                <w:sz w:val="18"/>
              </w:rPr>
              <w:t>5</w:t>
            </w:r>
            <w:r>
              <w:rPr>
                <w:rFonts w:ascii="仿宋_GB2312" w:hAnsi="仿宋_GB2312" w:cs="仿宋_GB2312" w:eastAsia="仿宋_GB2312"/>
                <w:sz w:val="18"/>
              </w:rPr>
              <w:t>年，根据工程影响情况，监测主要为鱼类繁殖期和仔幼鱼庇护生产期。</w:t>
            </w:r>
            <w:r>
              <w:rPr>
                <w:rFonts w:ascii="仿宋_GB2312" w:hAnsi="仿宋_GB2312" w:cs="仿宋_GB2312" w:eastAsia="仿宋_GB2312"/>
                <w:sz w:val="18"/>
              </w:rPr>
              <w:t>监测断面垂线的设置见下表：</w:t>
            </w:r>
          </w:p>
          <w:p>
            <w:pPr>
              <w:pStyle w:val="null3"/>
              <w:ind w:firstLine="482"/>
              <w:jc w:val="center"/>
            </w:pPr>
            <w:r>
              <w:rPr>
                <w:rFonts w:ascii="仿宋_GB2312" w:hAnsi="仿宋_GB2312" w:cs="仿宋_GB2312" w:eastAsia="仿宋_GB2312"/>
                <w:sz w:val="18"/>
                <w:b/>
              </w:rPr>
              <w:t>监测断面垂线设置</w:t>
            </w:r>
          </w:p>
          <w:p>
            <w:pPr>
              <w:pStyle w:val="null3"/>
              <w:ind w:firstLine="482"/>
              <w:jc w:val="center"/>
            </w:pPr>
            <w:r>
              <w:rPr>
                <w:rFonts w:ascii="仿宋_GB2312" w:hAnsi="仿宋_GB2312" w:cs="仿宋_GB2312" w:eastAsia="仿宋_GB2312"/>
              </w:rPr>
              <w:t xml:space="preserve"> </w:t>
            </w:r>
          </w:p>
          <w:tbl>
            <w:tblPr>
              <w:tblInd w:type="dxa" w:w="450"/>
              <w:tblBorders>
                <w:top w:val="none" w:color="000000" w:sz="4"/>
                <w:left w:val="none" w:color="000000" w:sz="4"/>
                <w:bottom w:val="none" w:color="000000" w:sz="4"/>
                <w:right w:val="none" w:color="000000" w:sz="4"/>
                <w:insideH w:val="none"/>
                <w:insideV w:val="none"/>
              </w:tblBorders>
            </w:tblPr>
            <w:tblGrid>
              <w:gridCol w:w="876"/>
              <w:gridCol w:w="1677"/>
            </w:tblGrid>
            <w:tr>
              <w:tc>
                <w:tcPr>
                  <w:tcW w:type="dxa" w:w="8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1"/>
                      <w:b/>
                    </w:rPr>
                    <w:t>水面宽（</w:t>
                  </w:r>
                  <w:r>
                    <w:rPr>
                      <w:rFonts w:ascii="仿宋_GB2312" w:hAnsi="仿宋_GB2312" w:cs="仿宋_GB2312" w:eastAsia="仿宋_GB2312"/>
                      <w:sz w:val="21"/>
                      <w:b/>
                    </w:rPr>
                    <w:t>m）</w:t>
                  </w:r>
                </w:p>
              </w:tc>
              <w:tc>
                <w:tcPr>
                  <w:tcW w:type="dxa" w:w="167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1"/>
                      <w:b/>
                    </w:rPr>
                    <w:t>采样断面</w:t>
                  </w:r>
                </w:p>
              </w:tc>
            </w:tr>
            <w:tr>
              <w:tc>
                <w:tcPr>
                  <w:tcW w:type="dxa" w:w="8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≤50</w:t>
                  </w:r>
                </w:p>
              </w:tc>
              <w:tc>
                <w:tcPr>
                  <w:tcW w:type="dxa" w:w="16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1"/>
                    </w:rPr>
                    <w:t>一点（中泓线）</w:t>
                  </w:r>
                </w:p>
              </w:tc>
            </w:tr>
            <w:tr>
              <w:tc>
                <w:tcPr>
                  <w:tcW w:type="dxa" w:w="8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50—100</w:t>
                  </w:r>
                </w:p>
              </w:tc>
              <w:tc>
                <w:tcPr>
                  <w:tcW w:type="dxa" w:w="16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1"/>
                    </w:rPr>
                    <w:t>两点（左、右近岸有明显水流出）</w:t>
                  </w:r>
                </w:p>
              </w:tc>
            </w:tr>
            <w:tr>
              <w:tc>
                <w:tcPr>
                  <w:tcW w:type="dxa" w:w="8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1"/>
                    </w:rPr>
                    <w:t>＞</w:t>
                  </w:r>
                  <w:r>
                    <w:rPr>
                      <w:rFonts w:ascii="仿宋_GB2312" w:hAnsi="仿宋_GB2312" w:cs="仿宋_GB2312" w:eastAsia="仿宋_GB2312"/>
                      <w:sz w:val="21"/>
                    </w:rPr>
                    <w:t>100</w:t>
                  </w:r>
                </w:p>
              </w:tc>
              <w:tc>
                <w:tcPr>
                  <w:tcW w:type="dxa" w:w="16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1"/>
                    </w:rPr>
                    <w:t>三点（左、中、右）</w:t>
                  </w:r>
                </w:p>
              </w:tc>
            </w:tr>
          </w:tbl>
          <w:p>
            <w:pPr>
              <w:pStyle w:val="null3"/>
            </w:pPr>
            <w:r>
              <w:rPr>
                <w:rFonts w:ascii="仿宋_GB2312" w:hAnsi="仿宋_GB2312" w:cs="仿宋_GB2312" w:eastAsia="仿宋_GB2312"/>
                <w:sz w:val="18"/>
              </w:rPr>
              <w:t>4.技术规范</w:t>
            </w:r>
          </w:p>
          <w:p>
            <w:pPr>
              <w:pStyle w:val="null3"/>
              <w:ind w:firstLine="480"/>
              <w:jc w:val="both"/>
            </w:pPr>
            <w:r>
              <w:rPr>
                <w:rFonts w:ascii="仿宋_GB2312" w:hAnsi="仿宋_GB2312" w:cs="仿宋_GB2312" w:eastAsia="仿宋_GB2312"/>
                <w:sz w:val="18"/>
              </w:rPr>
              <w:t>主要依据的标准如下：</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SL63-94</w:t>
            </w:r>
            <w:r>
              <w:rPr>
                <w:rFonts w:ascii="仿宋_GB2312" w:hAnsi="仿宋_GB2312" w:cs="仿宋_GB2312" w:eastAsia="仿宋_GB2312"/>
                <w:sz w:val="18"/>
              </w:rPr>
              <w:t>地表水资源质量标准；</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GB11607-89</w:t>
            </w:r>
            <w:r>
              <w:rPr>
                <w:rFonts w:ascii="仿宋_GB2312" w:hAnsi="仿宋_GB2312" w:cs="仿宋_GB2312" w:eastAsia="仿宋_GB2312"/>
                <w:sz w:val="18"/>
              </w:rPr>
              <w:t>渔业水质标准；</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GB3838-2002</w:t>
            </w:r>
            <w:r>
              <w:rPr>
                <w:rFonts w:ascii="仿宋_GB2312" w:hAnsi="仿宋_GB2312" w:cs="仿宋_GB2312" w:eastAsia="仿宋_GB2312"/>
                <w:sz w:val="18"/>
              </w:rPr>
              <w:t>地面水环境质量标准；</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SC9102.1-2007</w:t>
            </w:r>
            <w:r>
              <w:rPr>
                <w:rFonts w:ascii="仿宋_GB2312" w:hAnsi="仿宋_GB2312" w:cs="仿宋_GB2312" w:eastAsia="仿宋_GB2312"/>
                <w:sz w:val="18"/>
              </w:rPr>
              <w:t>渔业生态环境监测规范第</w:t>
            </w:r>
            <w:r>
              <w:rPr>
                <w:rFonts w:ascii="仿宋_GB2312" w:hAnsi="仿宋_GB2312" w:cs="仿宋_GB2312" w:eastAsia="仿宋_GB2312"/>
                <w:sz w:val="18"/>
              </w:rPr>
              <w:t>1</w:t>
            </w:r>
            <w:r>
              <w:rPr>
                <w:rFonts w:ascii="仿宋_GB2312" w:hAnsi="仿宋_GB2312" w:cs="仿宋_GB2312" w:eastAsia="仿宋_GB2312"/>
                <w:sz w:val="18"/>
              </w:rPr>
              <w:t>部分：总则；</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SC9102.3-2007</w:t>
            </w:r>
            <w:r>
              <w:rPr>
                <w:rFonts w:ascii="仿宋_GB2312" w:hAnsi="仿宋_GB2312" w:cs="仿宋_GB2312" w:eastAsia="仿宋_GB2312"/>
                <w:sz w:val="18"/>
              </w:rPr>
              <w:t>渔业生态环境监测规范第</w:t>
            </w:r>
            <w:r>
              <w:rPr>
                <w:rFonts w:ascii="仿宋_GB2312" w:hAnsi="仿宋_GB2312" w:cs="仿宋_GB2312" w:eastAsia="仿宋_GB2312"/>
                <w:sz w:val="18"/>
              </w:rPr>
              <w:t>3</w:t>
            </w:r>
            <w:r>
              <w:rPr>
                <w:rFonts w:ascii="仿宋_GB2312" w:hAnsi="仿宋_GB2312" w:cs="仿宋_GB2312" w:eastAsia="仿宋_GB2312"/>
                <w:sz w:val="18"/>
              </w:rPr>
              <w:t>部分：淡水；</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w:t>
            </w:r>
            <w:r>
              <w:rPr>
                <w:rFonts w:ascii="仿宋_GB2312" w:hAnsi="仿宋_GB2312" w:cs="仿宋_GB2312" w:eastAsia="仿宋_GB2312"/>
                <w:sz w:val="18"/>
              </w:rPr>
              <w:t>GB8978-1996</w:t>
            </w:r>
            <w:r>
              <w:rPr>
                <w:rFonts w:ascii="仿宋_GB2312" w:hAnsi="仿宋_GB2312" w:cs="仿宋_GB2312" w:eastAsia="仿宋_GB2312"/>
                <w:sz w:val="18"/>
              </w:rPr>
              <w:t>污水综合排放标准；</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18"/>
              </w:rPr>
              <w:t>GB/T12999-1991</w:t>
            </w:r>
            <w:r>
              <w:rPr>
                <w:rFonts w:ascii="仿宋_GB2312" w:hAnsi="仿宋_GB2312" w:cs="仿宋_GB2312" w:eastAsia="仿宋_GB2312"/>
                <w:sz w:val="18"/>
              </w:rPr>
              <w:t>水质采样样品的保存和管理技术规定；</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8</w:t>
            </w:r>
            <w:r>
              <w:rPr>
                <w:rFonts w:ascii="仿宋_GB2312" w:hAnsi="仿宋_GB2312" w:cs="仿宋_GB2312" w:eastAsia="仿宋_GB2312"/>
                <w:sz w:val="18"/>
              </w:rPr>
              <w:t>）</w:t>
            </w:r>
            <w:r>
              <w:rPr>
                <w:rFonts w:ascii="仿宋_GB2312" w:hAnsi="仿宋_GB2312" w:cs="仿宋_GB2312" w:eastAsia="仿宋_GB2312"/>
                <w:sz w:val="18"/>
              </w:rPr>
              <w:t>CAF20050001</w:t>
            </w:r>
            <w:r>
              <w:rPr>
                <w:rFonts w:ascii="仿宋_GB2312" w:hAnsi="仿宋_GB2312" w:cs="仿宋_GB2312" w:eastAsia="仿宋_GB2312"/>
                <w:sz w:val="18"/>
              </w:rPr>
              <w:t>内陆水域渔业资源调查技术规范；</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w:t>
            </w:r>
            <w:r>
              <w:rPr>
                <w:rFonts w:ascii="仿宋_GB2312" w:hAnsi="仿宋_GB2312" w:cs="仿宋_GB2312" w:eastAsia="仿宋_GB2312"/>
                <w:sz w:val="18"/>
              </w:rPr>
              <w:t>SC/T9402-2010</w:t>
            </w:r>
            <w:r>
              <w:rPr>
                <w:rFonts w:ascii="仿宋_GB2312" w:hAnsi="仿宋_GB2312" w:cs="仿宋_GB2312" w:eastAsia="仿宋_GB2312"/>
                <w:sz w:val="18"/>
              </w:rPr>
              <w:t>淡水浮游生物调查技术规范；</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10</w:t>
            </w:r>
            <w:r>
              <w:rPr>
                <w:rFonts w:ascii="仿宋_GB2312" w:hAnsi="仿宋_GB2312" w:cs="仿宋_GB2312" w:eastAsia="仿宋_GB2312"/>
                <w:sz w:val="18"/>
              </w:rPr>
              <w:t>）</w:t>
            </w:r>
            <w:r>
              <w:rPr>
                <w:rFonts w:ascii="仿宋_GB2312" w:hAnsi="仿宋_GB2312" w:cs="仿宋_GB2312" w:eastAsia="仿宋_GB2312"/>
                <w:sz w:val="18"/>
              </w:rPr>
              <w:t>HJ494-2009</w:t>
            </w:r>
            <w:r>
              <w:rPr>
                <w:rFonts w:ascii="仿宋_GB2312" w:hAnsi="仿宋_GB2312" w:cs="仿宋_GB2312" w:eastAsia="仿宋_GB2312"/>
                <w:sz w:val="18"/>
              </w:rPr>
              <w:t>水质采样技术指导。</w:t>
            </w:r>
          </w:p>
          <w:p>
            <w:pPr>
              <w:pStyle w:val="null3"/>
              <w:ind w:firstLine="480"/>
              <w:jc w:val="both"/>
            </w:pPr>
            <w:r>
              <w:rPr>
                <w:rFonts w:ascii="仿宋_GB2312" w:hAnsi="仿宋_GB2312" w:cs="仿宋_GB2312" w:eastAsia="仿宋_GB2312"/>
                <w:sz w:val="18"/>
              </w:rPr>
              <w:t>二、专项培训</w:t>
            </w:r>
          </w:p>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协调保护区主管单位人员对进入保护区范围的管理人员、施工人员、运输人员开展保护区保护专项培训，进一步增加对保护区的保护意识。专项培训费用15万元，依据周至县农业局关于印发《周至县农业系统财务管理办法》的通知（周农业发〔2018〕221号文件精神，会议、培训费采用综合定额标准，每人每天不超过400元，培训人次375人次，培训时间计划2025年6月一2025年12月。</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标的名称：栖息地生境修复+生态保护宣贯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一、栖息地生境修复</w:t>
            </w:r>
          </w:p>
          <w:p>
            <w:pPr>
              <w:pStyle w:val="null3"/>
              <w:ind w:firstLine="200"/>
              <w:jc w:val="both"/>
            </w:pPr>
            <w:r>
              <w:rPr>
                <w:rFonts w:ascii="仿宋_GB2312" w:hAnsi="仿宋_GB2312" w:cs="仿宋_GB2312" w:eastAsia="仿宋_GB2312"/>
                <w:sz w:val="18"/>
              </w:rPr>
              <w:t xml:space="preserve">    </w:t>
            </w:r>
            <w:r>
              <w:rPr>
                <w:rFonts w:ascii="仿宋_GB2312" w:hAnsi="仿宋_GB2312" w:cs="仿宋_GB2312" w:eastAsia="仿宋_GB2312"/>
                <w:sz w:val="18"/>
              </w:rPr>
              <w:t>根据</w:t>
            </w:r>
            <w:r>
              <w:rPr>
                <w:rFonts w:ascii="仿宋_GB2312" w:hAnsi="仿宋_GB2312" w:cs="仿宋_GB2312" w:eastAsia="仿宋_GB2312"/>
                <w:sz w:val="18"/>
              </w:rPr>
              <w:t>鄠周眉高速公路</w:t>
            </w:r>
            <w:r>
              <w:rPr>
                <w:rFonts w:ascii="仿宋_GB2312" w:hAnsi="仿宋_GB2312" w:cs="仿宋_GB2312" w:eastAsia="仿宋_GB2312"/>
                <w:sz w:val="18"/>
              </w:rPr>
              <w:t>工程分析以及黑河多鳞铲颌鱼国家级水产种质资源保护区概况，鄠邑经周至至眉县高速公路有</w:t>
            </w:r>
            <w:r>
              <w:rPr>
                <w:rFonts w:ascii="仿宋_GB2312" w:hAnsi="仿宋_GB2312" w:cs="仿宋_GB2312" w:eastAsia="仿宋_GB2312"/>
                <w:sz w:val="18"/>
              </w:rPr>
              <w:t>5</w:t>
            </w:r>
            <w:r>
              <w:rPr>
                <w:rFonts w:ascii="仿宋_GB2312" w:hAnsi="仿宋_GB2312" w:cs="仿宋_GB2312" w:eastAsia="仿宋_GB2312"/>
                <w:sz w:val="18"/>
              </w:rPr>
              <w:t>处桥梁分别跨越保护区赤峪河实验区，田峪河实验区，就峪河实验区，黑河实验区以及骆峪河实验区。</w:t>
            </w:r>
            <w:r>
              <w:rPr>
                <w:rFonts w:ascii="仿宋_GB2312" w:hAnsi="仿宋_GB2312" w:cs="仿宋_GB2312" w:eastAsia="仿宋_GB2312"/>
                <w:sz w:val="18"/>
              </w:rPr>
              <w:t>鄠周眉高速工程</w:t>
            </w:r>
            <w:r>
              <w:rPr>
                <w:rFonts w:ascii="仿宋_GB2312" w:hAnsi="仿宋_GB2312" w:cs="仿宋_GB2312" w:eastAsia="仿宋_GB2312"/>
                <w:sz w:val="18"/>
              </w:rPr>
              <w:t>工程施工期实际占用保护区生境面积</w:t>
            </w:r>
            <w:r>
              <w:rPr>
                <w:rFonts w:ascii="仿宋_GB2312" w:hAnsi="仿宋_GB2312" w:cs="仿宋_GB2312" w:eastAsia="仿宋_GB2312"/>
                <w:sz w:val="18"/>
              </w:rPr>
              <w:t>67000㎡</w:t>
            </w:r>
            <w:r>
              <w:rPr>
                <w:rFonts w:ascii="仿宋_GB2312" w:hAnsi="仿宋_GB2312" w:cs="仿宋_GB2312" w:eastAsia="仿宋_GB2312"/>
                <w:sz w:val="18"/>
              </w:rPr>
              <w:t>，工程桥墩永久占用保护区生境面积</w:t>
            </w:r>
            <w:r>
              <w:rPr>
                <w:rFonts w:ascii="仿宋_GB2312" w:hAnsi="仿宋_GB2312" w:cs="仿宋_GB2312" w:eastAsia="仿宋_GB2312"/>
                <w:sz w:val="18"/>
              </w:rPr>
              <w:t>287.82</w:t>
            </w:r>
            <w:r>
              <w:rPr>
                <w:rFonts w:ascii="仿宋_GB2312" w:hAnsi="仿宋_GB2312" w:cs="仿宋_GB2312" w:eastAsia="仿宋_GB2312"/>
                <w:sz w:val="18"/>
              </w:rPr>
              <w:t>㎡</w:t>
            </w:r>
            <w:r>
              <w:rPr>
                <w:rFonts w:ascii="仿宋_GB2312" w:hAnsi="仿宋_GB2312" w:cs="仿宋_GB2312" w:eastAsia="仿宋_GB2312"/>
                <w:sz w:val="18"/>
              </w:rPr>
              <w:t>，工程施工不可避免的破坏河道原有生境。</w:t>
            </w:r>
            <w:r>
              <w:rPr>
                <w:rFonts w:ascii="仿宋_GB2312" w:hAnsi="仿宋_GB2312" w:cs="仿宋_GB2312" w:eastAsia="仿宋_GB2312"/>
                <w:sz w:val="18"/>
              </w:rPr>
              <w:t>项目</w:t>
            </w:r>
            <w:r>
              <w:rPr>
                <w:rFonts w:ascii="仿宋_GB2312" w:hAnsi="仿宋_GB2312" w:cs="仿宋_GB2312" w:eastAsia="仿宋_GB2312"/>
                <w:sz w:val="18"/>
              </w:rPr>
              <w:t>生境修复措施</w:t>
            </w:r>
            <w:r>
              <w:rPr>
                <w:rFonts w:ascii="仿宋_GB2312" w:hAnsi="仿宋_GB2312" w:cs="仿宋_GB2312" w:eastAsia="仿宋_GB2312"/>
                <w:sz w:val="18"/>
              </w:rPr>
              <w:t>主要</w:t>
            </w:r>
            <w:r>
              <w:rPr>
                <w:rFonts w:ascii="仿宋_GB2312" w:hAnsi="仿宋_GB2312" w:cs="仿宋_GB2312" w:eastAsia="仿宋_GB2312"/>
                <w:sz w:val="18"/>
              </w:rPr>
              <w:t>需对河道生境进行生境修复，恢复至原有河道相同的底质生境。</w:t>
            </w:r>
          </w:p>
          <w:p>
            <w:pPr>
              <w:pStyle w:val="null3"/>
              <w:ind w:firstLine="200"/>
              <w:jc w:val="both"/>
            </w:pPr>
            <w:r>
              <w:rPr>
                <w:rFonts w:ascii="仿宋_GB2312" w:hAnsi="仿宋_GB2312" w:cs="仿宋_GB2312" w:eastAsia="仿宋_GB2312"/>
                <w:sz w:val="18"/>
              </w:rPr>
              <w:t xml:space="preserve"> 涉保护区的工程区域主要占用的是河滩草地，主要为墩基础施工产生的弃土，来源于墩基础处的基础开挖、排水沟的开挖及基面开挖等。经</w:t>
            </w:r>
            <w:r>
              <w:rPr>
                <w:rFonts w:ascii="仿宋_GB2312" w:hAnsi="仿宋_GB2312" w:cs="仿宋_GB2312" w:eastAsia="仿宋_GB2312"/>
                <w:sz w:val="18"/>
              </w:rPr>
              <w:t>测</w:t>
            </w:r>
            <w:r>
              <w:rPr>
                <w:rFonts w:ascii="仿宋_GB2312" w:hAnsi="仿宋_GB2312" w:cs="仿宋_GB2312" w:eastAsia="仿宋_GB2312"/>
                <w:sz w:val="18"/>
              </w:rPr>
              <w:t>算，工程施工期实际占用保护区生境面积</w:t>
            </w:r>
            <w:r>
              <w:rPr>
                <w:rFonts w:ascii="仿宋_GB2312" w:hAnsi="仿宋_GB2312" w:cs="仿宋_GB2312" w:eastAsia="仿宋_GB2312"/>
                <w:sz w:val="18"/>
              </w:rPr>
              <w:t>67000㎡</w:t>
            </w:r>
            <w:r>
              <w:rPr>
                <w:rFonts w:ascii="仿宋_GB2312" w:hAnsi="仿宋_GB2312" w:cs="仿宋_GB2312" w:eastAsia="仿宋_GB2312"/>
                <w:sz w:val="18"/>
              </w:rPr>
              <w:t>，需恢复区均位于河滩草地，主要优势种为禾本植物。为了避免水土流失等对保护区带来的损害，需及时进行植被恢复，</w:t>
            </w:r>
            <w:r>
              <w:rPr>
                <w:rFonts w:ascii="仿宋_GB2312" w:hAnsi="仿宋_GB2312" w:cs="仿宋_GB2312" w:eastAsia="仿宋_GB2312"/>
                <w:sz w:val="18"/>
              </w:rPr>
              <w:t>地表形态基本恢复原状，灌丛、草甸植被优势种群组成基本一致，盖度基本一致</w:t>
            </w:r>
            <w:r>
              <w:rPr>
                <w:rFonts w:ascii="仿宋_GB2312" w:hAnsi="仿宋_GB2312" w:cs="仿宋_GB2312" w:eastAsia="仿宋_GB2312"/>
                <w:sz w:val="18"/>
              </w:rPr>
              <w:t>，确保施工完后，周围生态基本恢复到原来的水平。</w:t>
            </w:r>
            <w:r>
              <w:rPr>
                <w:rFonts w:ascii="仿宋_GB2312" w:hAnsi="仿宋_GB2312" w:cs="仿宋_GB2312" w:eastAsia="仿宋_GB2312"/>
                <w:sz w:val="18"/>
              </w:rPr>
              <w:t>具体见下表</w:t>
            </w:r>
            <w:r>
              <w:rPr>
                <w:rFonts w:ascii="仿宋_GB2312" w:hAnsi="仿宋_GB2312" w:cs="仿宋_GB2312" w:eastAsia="仿宋_GB2312"/>
                <w:sz w:val="18"/>
              </w:rPr>
              <w:t>：</w:t>
            </w:r>
          </w:p>
          <w:tbl>
            <w:tblPr>
              <w:tblBorders>
                <w:top w:val="none" w:color="000000" w:sz="4"/>
                <w:left w:val="none" w:color="000000" w:sz="4"/>
                <w:bottom w:val="none" w:color="000000" w:sz="4"/>
                <w:right w:val="none" w:color="000000" w:sz="4"/>
                <w:insideH w:val="none"/>
                <w:insideV w:val="none"/>
              </w:tblBorders>
            </w:tblPr>
            <w:tblGrid>
              <w:gridCol w:w="150"/>
              <w:gridCol w:w="424"/>
              <w:gridCol w:w="327"/>
              <w:gridCol w:w="252"/>
              <w:gridCol w:w="252"/>
              <w:gridCol w:w="331"/>
              <w:gridCol w:w="331"/>
              <w:gridCol w:w="190"/>
              <w:gridCol w:w="296"/>
            </w:tblGrid>
            <w:tr>
              <w:tc>
                <w:tcPr>
                  <w:tcW w:type="dxa" w:w="15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河流</w:t>
                  </w:r>
                </w:p>
              </w:tc>
              <w:tc>
                <w:tcPr>
                  <w:tcW w:type="dxa" w:w="42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坐标</w:t>
                  </w:r>
                </w:p>
              </w:tc>
              <w:tc>
                <w:tcPr>
                  <w:tcW w:type="dxa" w:w="32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前期</w:t>
                  </w:r>
                  <w:r>
                    <w:rPr>
                      <w:rFonts w:ascii="仿宋_GB2312" w:hAnsi="仿宋_GB2312" w:cs="仿宋_GB2312" w:eastAsia="仿宋_GB2312"/>
                      <w:sz w:val="18"/>
                      <w:b/>
                    </w:rPr>
                    <w:t>施工任务</w:t>
                  </w:r>
                </w:p>
              </w:tc>
              <w:tc>
                <w:tcPr>
                  <w:tcW w:type="dxa" w:w="50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恢复面积</w:t>
                  </w:r>
                </w:p>
              </w:tc>
              <w:tc>
                <w:tcPr>
                  <w:tcW w:type="dxa" w:w="33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恢复目标</w:t>
                  </w:r>
                </w:p>
              </w:tc>
              <w:tc>
                <w:tcPr>
                  <w:tcW w:type="dxa" w:w="33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修复措施</w:t>
                  </w:r>
                </w:p>
              </w:tc>
              <w:tc>
                <w:tcPr>
                  <w:tcW w:type="dxa" w:w="19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养护频次</w:t>
                  </w:r>
                </w:p>
              </w:tc>
              <w:tc>
                <w:tcPr>
                  <w:tcW w:type="dxa" w:w="29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物种选择</w:t>
                  </w:r>
                </w:p>
              </w:tc>
            </w:tr>
            <w:tr>
              <w:tc>
                <w:tcPr>
                  <w:tcW w:type="dxa" w:w="150"/>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327"/>
                  <w:vMerge/>
                  <w:tcBorders>
                    <w:top w:val="single" w:color="000000" w:sz="4"/>
                    <w:left w:val="single" w:color="000000" w:sz="4"/>
                    <w:bottom w:val="single" w:color="000000" w:sz="4"/>
                    <w:right w:val="single" w:color="000000" w:sz="4"/>
                  </w:tcBorders>
                </w:tcP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种草面积</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平整土地</w:t>
                  </w:r>
                </w:p>
              </w:tc>
              <w:tc>
                <w:tcPr>
                  <w:tcW w:type="dxa" w:w="331"/>
                  <w:vMerge/>
                  <w:tcBorders>
                    <w:top w:val="single" w:color="000000" w:sz="4"/>
                    <w:left w:val="single" w:color="000000" w:sz="4"/>
                    <w:bottom w:val="single" w:color="000000" w:sz="4"/>
                    <w:right w:val="single" w:color="000000" w:sz="4"/>
                  </w:tcBorders>
                </w:tcPr>
                <w:p/>
              </w:tc>
              <w:tc>
                <w:tcPr>
                  <w:tcW w:type="dxa" w:w="331"/>
                  <w:vMerge/>
                  <w:tcBorders>
                    <w:top w:val="single" w:color="000000" w:sz="4"/>
                    <w:left w:val="single" w:color="000000" w:sz="4"/>
                    <w:bottom w:val="single" w:color="000000" w:sz="4"/>
                    <w:right w:val="single" w:color="000000" w:sz="4"/>
                  </w:tcBorders>
                </w:tcPr>
                <w:p/>
              </w:tc>
              <w:tc>
                <w:tcPr>
                  <w:tcW w:type="dxa" w:w="190"/>
                  <w:vMerge/>
                  <w:tcBorders>
                    <w:top w:val="single" w:color="000000" w:sz="4"/>
                    <w:left w:val="single" w:color="000000" w:sz="4"/>
                    <w:bottom w:val="single" w:color="000000" w:sz="4"/>
                    <w:right w:val="single" w:color="000000" w:sz="4"/>
                  </w:tcBorders>
                </w:tcPr>
                <w:p/>
              </w:tc>
              <w:tc>
                <w:tcPr>
                  <w:tcW w:type="dxa" w:w="296"/>
                  <w:vMerge/>
                  <w:tcBorders>
                    <w:top w:val="single" w:color="000000" w:sz="4"/>
                    <w:left w:val="single" w:color="000000" w:sz="4"/>
                    <w:bottom w:val="single" w:color="000000" w:sz="4"/>
                    <w:right w:val="single" w:color="000000" w:sz="4"/>
                  </w:tcBorders>
                </w:tc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黑河</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E:108</w:t>
                  </w:r>
                  <w:r>
                    <w:rPr>
                      <w:rFonts w:ascii="仿宋_GB2312" w:hAnsi="仿宋_GB2312" w:cs="仿宋_GB2312" w:eastAsia="仿宋_GB2312"/>
                      <w:sz w:val="18"/>
                    </w:rPr>
                    <w:t>°</w:t>
                  </w:r>
                  <w:r>
                    <w:rPr>
                      <w:rFonts w:ascii="仿宋_GB2312" w:hAnsi="仿宋_GB2312" w:cs="仿宋_GB2312" w:eastAsia="仿宋_GB2312"/>
                      <w:sz w:val="18"/>
                    </w:rPr>
                    <w:t>14</w:t>
                  </w:r>
                  <w:r>
                    <w:rPr>
                      <w:rFonts w:ascii="仿宋_GB2312" w:hAnsi="仿宋_GB2312" w:cs="仿宋_GB2312" w:eastAsia="仿宋_GB2312"/>
                      <w:sz w:val="18"/>
                    </w:rPr>
                    <w:t>'</w:t>
                  </w:r>
                  <w:r>
                    <w:rPr>
                      <w:rFonts w:ascii="仿宋_GB2312" w:hAnsi="仿宋_GB2312" w:cs="仿宋_GB2312" w:eastAsia="仿宋_GB2312"/>
                      <w:sz w:val="18"/>
                    </w:rPr>
                    <w:t>9.2652</w:t>
                  </w:r>
                  <w:r>
                    <w:rPr>
                      <w:rFonts w:ascii="仿宋_GB2312" w:hAnsi="仿宋_GB2312" w:cs="仿宋_GB2312" w:eastAsia="仿宋_GB2312"/>
                      <w:sz w:val="18"/>
                    </w:rPr>
                    <w:t>"</w:t>
                  </w:r>
                </w:p>
                <w:p>
                  <w:pPr>
                    <w:pStyle w:val="null3"/>
                    <w:jc w:val="center"/>
                  </w:pPr>
                  <w:r>
                    <w:rPr>
                      <w:rFonts w:ascii="仿宋_GB2312" w:hAnsi="仿宋_GB2312" w:cs="仿宋_GB2312" w:eastAsia="仿宋_GB2312"/>
                      <w:sz w:val="18"/>
                    </w:rPr>
                    <w:t>N:34</w:t>
                  </w: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w:t>
                  </w:r>
                  <w:r>
                    <w:rPr>
                      <w:rFonts w:ascii="仿宋_GB2312" w:hAnsi="仿宋_GB2312" w:cs="仿宋_GB2312" w:eastAsia="仿宋_GB2312"/>
                      <w:sz w:val="18"/>
                    </w:rPr>
                    <w:t>19.1592</w:t>
                  </w:r>
                  <w:r>
                    <w:rPr>
                      <w:rFonts w:ascii="仿宋_GB2312" w:hAnsi="仿宋_GB2312" w:cs="仿宋_GB2312" w:eastAsia="仿宋_GB2312"/>
                      <w:sz w:val="18"/>
                    </w:rPr>
                    <w:t>"</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基础整理、垃圾清理</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36850</w:t>
                  </w:r>
                  <w:r>
                    <w:rPr>
                      <w:rFonts w:ascii="仿宋_GB2312" w:hAnsi="仿宋_GB2312" w:cs="仿宋_GB2312" w:eastAsia="仿宋_GB2312"/>
                      <w:sz w:val="18"/>
                    </w:rPr>
                    <w:t>㎡</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15000</w:t>
                  </w:r>
                  <w:r>
                    <w:rPr>
                      <w:rFonts w:ascii="仿宋_GB2312" w:hAnsi="仿宋_GB2312" w:cs="仿宋_GB2312" w:eastAsia="仿宋_GB2312"/>
                      <w:sz w:val="18"/>
                    </w:rPr>
                    <w:t xml:space="preserve"> </w:t>
                  </w:r>
                  <w:r>
                    <w:rPr>
                      <w:rFonts w:ascii="仿宋_GB2312" w:hAnsi="仿宋_GB2312" w:cs="仿宋_GB2312" w:eastAsia="仿宋_GB2312"/>
                      <w:sz w:val="18"/>
                    </w:rPr>
                    <w:t>㎡</w:t>
                  </w:r>
                </w:p>
              </w:tc>
              <w:tc>
                <w:tcPr>
                  <w:tcW w:type="dxa" w:w="3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地表形态基本恢复原状，灌丛、草甸植被优势种群组成基本一致，盖度基本一致</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包括土地平整、</w:t>
                  </w:r>
                  <w:r>
                    <w:rPr>
                      <w:rFonts w:ascii="仿宋_GB2312" w:hAnsi="仿宋_GB2312" w:cs="仿宋_GB2312" w:eastAsia="仿宋_GB2312"/>
                      <w:sz w:val="18"/>
                    </w:rPr>
                    <w:t>种</w:t>
                  </w:r>
                  <w:r>
                    <w:rPr>
                      <w:rFonts w:ascii="仿宋_GB2312" w:hAnsi="仿宋_GB2312" w:cs="仿宋_GB2312" w:eastAsia="仿宋_GB2312"/>
                      <w:sz w:val="18"/>
                    </w:rPr>
                    <w:t>施肥、浇水等养护</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w:t>
                  </w:r>
                  <w:r>
                    <w:rPr>
                      <w:rFonts w:ascii="仿宋_GB2312" w:hAnsi="仿宋_GB2312" w:cs="仿宋_GB2312" w:eastAsia="仿宋_GB2312"/>
                      <w:sz w:val="18"/>
                    </w:rPr>
                    <w:t>1次</w:t>
                  </w:r>
                </w:p>
              </w:tc>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选择本地适宜生长的紫花苜蓿、蒿草、狗牙根、芦苇、菖蒲和绣球小冠花等当地优势种或主要绿化用植被中选择。</w:t>
                  </w:r>
                </w:p>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就峪河</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E:108°22′27.822″</w:t>
                  </w:r>
                </w:p>
                <w:p>
                  <w:pPr>
                    <w:pStyle w:val="null3"/>
                    <w:jc w:val="center"/>
                  </w:pPr>
                  <w:r>
                    <w:rPr>
                      <w:rFonts w:ascii="仿宋_GB2312" w:hAnsi="仿宋_GB2312" w:cs="仿宋_GB2312" w:eastAsia="仿宋_GB2312"/>
                      <w:sz w:val="18"/>
                    </w:rPr>
                    <w:t>N:34°6′24.498″</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基础整理、垃圾清理</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3600</w:t>
                  </w:r>
                  <w:r>
                    <w:rPr>
                      <w:rFonts w:ascii="仿宋_GB2312" w:hAnsi="仿宋_GB2312" w:cs="仿宋_GB2312" w:eastAsia="仿宋_GB2312"/>
                      <w:sz w:val="18"/>
                    </w:rPr>
                    <w:t>㎡</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3600</w:t>
                  </w:r>
                  <w:r>
                    <w:rPr>
                      <w:rFonts w:ascii="仿宋_GB2312" w:hAnsi="仿宋_GB2312" w:cs="仿宋_GB2312" w:eastAsia="仿宋_GB2312"/>
                      <w:sz w:val="18"/>
                    </w:rPr>
                    <w:t>㎡</w:t>
                  </w:r>
                </w:p>
              </w:tc>
              <w:tc>
                <w:tcPr>
                  <w:tcW w:type="dxa" w:w="331"/>
                  <w:vMerge/>
                  <w:tcBorders>
                    <w:top w:val="none" w:color="000000" w:sz="4"/>
                    <w:left w:val="single" w:color="000000" w:sz="4"/>
                    <w:bottom w:val="single" w:color="000000" w:sz="4"/>
                    <w:right w:val="single" w:color="000000" w:sz="4"/>
                  </w:tcBorders>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包括</w:t>
                  </w:r>
                  <w:r>
                    <w:rPr>
                      <w:rFonts w:ascii="仿宋_GB2312" w:hAnsi="仿宋_GB2312" w:cs="仿宋_GB2312" w:eastAsia="仿宋_GB2312"/>
                      <w:sz w:val="18"/>
                    </w:rPr>
                    <w:t>种草、</w:t>
                  </w:r>
                  <w:r>
                    <w:rPr>
                      <w:rFonts w:ascii="仿宋_GB2312" w:hAnsi="仿宋_GB2312" w:cs="仿宋_GB2312" w:eastAsia="仿宋_GB2312"/>
                      <w:sz w:val="18"/>
                    </w:rPr>
                    <w:t>施肥、浇水等养护</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w:t>
                  </w:r>
                  <w:r>
                    <w:rPr>
                      <w:rFonts w:ascii="仿宋_GB2312" w:hAnsi="仿宋_GB2312" w:cs="仿宋_GB2312" w:eastAsia="仿宋_GB2312"/>
                      <w:sz w:val="18"/>
                    </w:rPr>
                    <w:t>1次</w:t>
                  </w:r>
                </w:p>
              </w:tc>
              <w:tc>
                <w:tcPr>
                  <w:tcW w:type="dxa" w:w="296"/>
                  <w:vMerge/>
                  <w:tcBorders>
                    <w:top w:val="none" w:color="000000" w:sz="4"/>
                    <w:left w:val="single" w:color="000000" w:sz="4"/>
                    <w:bottom w:val="single" w:color="000000" w:sz="4"/>
                    <w:right w:val="single" w:color="000000" w:sz="4"/>
                  </w:tcBorders>
                </w:tc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田峪河</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E:108°19′45.6132″</w:t>
                  </w:r>
                </w:p>
                <w:p>
                  <w:pPr>
                    <w:pStyle w:val="null3"/>
                    <w:jc w:val="center"/>
                  </w:pPr>
                  <w:r>
                    <w:rPr>
                      <w:rFonts w:ascii="仿宋_GB2312" w:hAnsi="仿宋_GB2312" w:cs="仿宋_GB2312" w:eastAsia="仿宋_GB2312"/>
                      <w:sz w:val="18"/>
                    </w:rPr>
                    <w:t>N:34°6′15.8688″</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基础整理、垃圾清理</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12770</w:t>
                  </w:r>
                  <w:r>
                    <w:rPr>
                      <w:rFonts w:ascii="仿宋_GB2312" w:hAnsi="仿宋_GB2312" w:cs="仿宋_GB2312" w:eastAsia="仿宋_GB2312"/>
                      <w:sz w:val="18"/>
                    </w:rPr>
                    <w:t>㎡</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12770</w:t>
                  </w:r>
                  <w:r>
                    <w:rPr>
                      <w:rFonts w:ascii="仿宋_GB2312" w:hAnsi="仿宋_GB2312" w:cs="仿宋_GB2312" w:eastAsia="仿宋_GB2312"/>
                      <w:sz w:val="18"/>
                    </w:rPr>
                    <w:t>㎡</w:t>
                  </w:r>
                </w:p>
              </w:tc>
              <w:tc>
                <w:tcPr>
                  <w:tcW w:type="dxa" w:w="331"/>
                  <w:vMerge/>
                  <w:tcBorders>
                    <w:top w:val="none" w:color="000000" w:sz="4"/>
                    <w:left w:val="single" w:color="000000" w:sz="4"/>
                    <w:bottom w:val="single" w:color="000000" w:sz="4"/>
                    <w:right w:val="single" w:color="000000" w:sz="4"/>
                  </w:tcBorders>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包括</w:t>
                  </w:r>
                  <w:r>
                    <w:rPr>
                      <w:rFonts w:ascii="仿宋_GB2312" w:hAnsi="仿宋_GB2312" w:cs="仿宋_GB2312" w:eastAsia="仿宋_GB2312"/>
                      <w:sz w:val="18"/>
                    </w:rPr>
                    <w:t>种草、</w:t>
                  </w:r>
                  <w:r>
                    <w:rPr>
                      <w:rFonts w:ascii="仿宋_GB2312" w:hAnsi="仿宋_GB2312" w:cs="仿宋_GB2312" w:eastAsia="仿宋_GB2312"/>
                      <w:sz w:val="18"/>
                    </w:rPr>
                    <w:t>施肥、浇水等养护</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w:t>
                  </w:r>
                  <w:r>
                    <w:rPr>
                      <w:rFonts w:ascii="仿宋_GB2312" w:hAnsi="仿宋_GB2312" w:cs="仿宋_GB2312" w:eastAsia="仿宋_GB2312"/>
                      <w:sz w:val="18"/>
                    </w:rPr>
                    <w:t>1次</w:t>
                  </w:r>
                </w:p>
              </w:tc>
              <w:tc>
                <w:tcPr>
                  <w:tcW w:type="dxa" w:w="296"/>
                  <w:vMerge/>
                  <w:tcBorders>
                    <w:top w:val="none" w:color="000000" w:sz="4"/>
                    <w:left w:val="single" w:color="000000" w:sz="4"/>
                    <w:bottom w:val="single" w:color="000000" w:sz="4"/>
                    <w:right w:val="single" w:color="000000" w:sz="4"/>
                  </w:tcBorders>
                </w:tc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赤峪河</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E:108°16′27.894″</w:t>
                  </w:r>
                </w:p>
                <w:p>
                  <w:pPr>
                    <w:pStyle w:val="null3"/>
                    <w:jc w:val="center"/>
                  </w:pPr>
                  <w:r>
                    <w:rPr>
                      <w:rFonts w:ascii="仿宋_GB2312" w:hAnsi="仿宋_GB2312" w:cs="仿宋_GB2312" w:eastAsia="仿宋_GB2312"/>
                      <w:sz w:val="18"/>
                    </w:rPr>
                    <w:t>N:34°5′48.948″</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基础整理、垃圾清理</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1210</w:t>
                  </w:r>
                  <w:r>
                    <w:rPr>
                      <w:rFonts w:ascii="仿宋_GB2312" w:hAnsi="仿宋_GB2312" w:cs="仿宋_GB2312" w:eastAsia="仿宋_GB2312"/>
                      <w:sz w:val="18"/>
                    </w:rPr>
                    <w:t>㎡</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1210</w:t>
                  </w:r>
                  <w:r>
                    <w:rPr>
                      <w:rFonts w:ascii="仿宋_GB2312" w:hAnsi="仿宋_GB2312" w:cs="仿宋_GB2312" w:eastAsia="仿宋_GB2312"/>
                      <w:sz w:val="18"/>
                    </w:rPr>
                    <w:t>㎡</w:t>
                  </w:r>
                </w:p>
              </w:tc>
              <w:tc>
                <w:tcPr>
                  <w:tcW w:type="dxa" w:w="331"/>
                  <w:vMerge/>
                  <w:tcBorders>
                    <w:top w:val="none" w:color="000000" w:sz="4"/>
                    <w:left w:val="single" w:color="000000" w:sz="4"/>
                    <w:bottom w:val="single" w:color="000000" w:sz="4"/>
                    <w:right w:val="single" w:color="000000" w:sz="4"/>
                  </w:tcBorders>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包括</w:t>
                  </w:r>
                  <w:r>
                    <w:rPr>
                      <w:rFonts w:ascii="仿宋_GB2312" w:hAnsi="仿宋_GB2312" w:cs="仿宋_GB2312" w:eastAsia="仿宋_GB2312"/>
                      <w:sz w:val="18"/>
                    </w:rPr>
                    <w:t>种草、</w:t>
                  </w:r>
                  <w:r>
                    <w:rPr>
                      <w:rFonts w:ascii="仿宋_GB2312" w:hAnsi="仿宋_GB2312" w:cs="仿宋_GB2312" w:eastAsia="仿宋_GB2312"/>
                      <w:sz w:val="18"/>
                    </w:rPr>
                    <w:t>施肥、浇水等养护</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w:t>
                  </w:r>
                  <w:r>
                    <w:rPr>
                      <w:rFonts w:ascii="仿宋_GB2312" w:hAnsi="仿宋_GB2312" w:cs="仿宋_GB2312" w:eastAsia="仿宋_GB2312"/>
                      <w:sz w:val="18"/>
                    </w:rPr>
                    <w:t>1次</w:t>
                  </w:r>
                </w:p>
              </w:tc>
              <w:tc>
                <w:tcPr>
                  <w:tcW w:type="dxa" w:w="296"/>
                  <w:vMerge/>
                  <w:tcBorders>
                    <w:top w:val="none" w:color="000000" w:sz="4"/>
                    <w:left w:val="single" w:color="000000" w:sz="4"/>
                    <w:bottom w:val="single" w:color="000000" w:sz="4"/>
                    <w:right w:val="single" w:color="000000" w:sz="4"/>
                  </w:tcBorders>
                </w:tc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沙河</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E:108°11′33.9432″</w:t>
                  </w:r>
                </w:p>
                <w:p>
                  <w:pPr>
                    <w:pStyle w:val="null3"/>
                    <w:jc w:val="center"/>
                  </w:pPr>
                  <w:r>
                    <w:rPr>
                      <w:rFonts w:ascii="仿宋_GB2312" w:hAnsi="仿宋_GB2312" w:cs="仿宋_GB2312" w:eastAsia="仿宋_GB2312"/>
                      <w:sz w:val="18"/>
                    </w:rPr>
                    <w:t>N:34°7′19.8588″</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基础整理、垃圾清理</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12570</w:t>
                  </w:r>
                  <w:r>
                    <w:rPr>
                      <w:rFonts w:ascii="仿宋_GB2312" w:hAnsi="仿宋_GB2312" w:cs="仿宋_GB2312" w:eastAsia="仿宋_GB2312"/>
                      <w:sz w:val="18"/>
                    </w:rPr>
                    <w:t>㎡</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2920</w:t>
                  </w:r>
                  <w:r>
                    <w:rPr>
                      <w:rFonts w:ascii="仿宋_GB2312" w:hAnsi="仿宋_GB2312" w:cs="仿宋_GB2312" w:eastAsia="仿宋_GB2312"/>
                      <w:sz w:val="18"/>
                    </w:rPr>
                    <w:t>㎡</w:t>
                  </w:r>
                </w:p>
              </w:tc>
              <w:tc>
                <w:tcPr>
                  <w:tcW w:type="dxa" w:w="331"/>
                  <w:vMerge/>
                  <w:tcBorders>
                    <w:top w:val="none" w:color="000000" w:sz="4"/>
                    <w:left w:val="single" w:color="000000" w:sz="4"/>
                    <w:bottom w:val="single" w:color="000000" w:sz="4"/>
                    <w:right w:val="single" w:color="000000" w:sz="4"/>
                  </w:tcBorders>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包括</w:t>
                  </w:r>
                  <w:r>
                    <w:rPr>
                      <w:rFonts w:ascii="仿宋_GB2312" w:hAnsi="仿宋_GB2312" w:cs="仿宋_GB2312" w:eastAsia="仿宋_GB2312"/>
                      <w:sz w:val="18"/>
                    </w:rPr>
                    <w:t>种草、</w:t>
                  </w:r>
                  <w:r>
                    <w:rPr>
                      <w:rFonts w:ascii="仿宋_GB2312" w:hAnsi="仿宋_GB2312" w:cs="仿宋_GB2312" w:eastAsia="仿宋_GB2312"/>
                      <w:sz w:val="18"/>
                    </w:rPr>
                    <w:t>施肥、浇水等养护</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w:t>
                  </w:r>
                  <w:r>
                    <w:rPr>
                      <w:rFonts w:ascii="仿宋_GB2312" w:hAnsi="仿宋_GB2312" w:cs="仿宋_GB2312" w:eastAsia="仿宋_GB2312"/>
                      <w:sz w:val="18"/>
                    </w:rPr>
                    <w:t>1次</w:t>
                  </w:r>
                </w:p>
              </w:tc>
              <w:tc>
                <w:tcPr>
                  <w:tcW w:type="dxa" w:w="296"/>
                  <w:vMerge/>
                  <w:tcBorders>
                    <w:top w:val="none" w:color="000000" w:sz="4"/>
                    <w:left w:val="single" w:color="000000" w:sz="4"/>
                    <w:bottom w:val="single" w:color="000000" w:sz="4"/>
                    <w:right w:val="single" w:color="000000" w:sz="4"/>
                  </w:tcBorders>
                </w:tcPr>
                <w:p/>
              </w:tc>
            </w:tr>
          </w:tbl>
          <w:p>
            <w:pPr>
              <w:pStyle w:val="null3"/>
            </w:pPr>
            <w:r>
              <w:rPr>
                <w:rFonts w:ascii="仿宋_GB2312" w:hAnsi="仿宋_GB2312" w:cs="仿宋_GB2312" w:eastAsia="仿宋_GB2312"/>
                <w:sz w:val="18"/>
              </w:rPr>
              <w:t>二、生态保护宣贯</w:t>
            </w:r>
          </w:p>
          <w:p>
            <w:pPr>
              <w:pStyle w:val="null3"/>
              <w:spacing w:after="120"/>
              <w:ind w:firstLine="476"/>
              <w:jc w:val="both"/>
            </w:pPr>
            <w:r>
              <w:rPr>
                <w:rFonts w:ascii="仿宋_GB2312" w:hAnsi="仿宋_GB2312" w:cs="仿宋_GB2312" w:eastAsia="仿宋_GB2312"/>
                <w:sz w:val="18"/>
              </w:rPr>
              <w:t>加强宣贯，有利于进入保护区施工人员相关的法律的普及和保护意识的提高，</w:t>
            </w:r>
            <w:r>
              <w:rPr>
                <w:rFonts w:ascii="仿宋_GB2312" w:hAnsi="仿宋_GB2312" w:cs="仿宋_GB2312" w:eastAsia="仿宋_GB2312"/>
                <w:sz w:val="18"/>
              </w:rPr>
              <w:t>有利于提高当地居民的监督意识，达到施工人员自主保护和当地居民监督保护并行的目的，最终切实减少因设保护区人员主观认识不到位和不了解相关法律导致</w:t>
            </w:r>
            <w:r>
              <w:rPr>
                <w:rFonts w:ascii="仿宋_GB2312" w:hAnsi="仿宋_GB2312" w:cs="仿宋_GB2312" w:eastAsia="仿宋_GB2312"/>
                <w:sz w:val="18"/>
              </w:rPr>
              <w:t>的生态损失。</w:t>
            </w:r>
          </w:p>
          <w:p>
            <w:pPr>
              <w:pStyle w:val="null3"/>
              <w:spacing w:before="30" w:after="120"/>
              <w:ind w:firstLine="492"/>
              <w:jc w:val="both"/>
            </w:pPr>
            <w:r>
              <w:rPr>
                <w:rFonts w:ascii="仿宋_GB2312" w:hAnsi="仿宋_GB2312" w:cs="仿宋_GB2312" w:eastAsia="仿宋_GB2312"/>
                <w:sz w:val="18"/>
              </w:rPr>
              <w:t>应加强专题报告相关环保措施、施工要求、法律法规、保护区管理制度的宣贯，宣贯内容具体有：宣传车巡视宣传、宣传牌制作、培训学习、宣传册制作散发等。通过多样的宣贯手段，不断推广，使宣贯内容成为指导施工的准则，形成行为的习惯，实现建设方和人员的文化的自觉。永久性宣传牌设立，共需要设立</w:t>
            </w:r>
            <w:r>
              <w:rPr>
                <w:rFonts w:ascii="仿宋_GB2312" w:hAnsi="仿宋_GB2312" w:cs="仿宋_GB2312" w:eastAsia="仿宋_GB2312"/>
                <w:sz w:val="18"/>
              </w:rPr>
              <w:t>32</w:t>
            </w:r>
            <w:r>
              <w:rPr>
                <w:rFonts w:ascii="仿宋_GB2312" w:hAnsi="仿宋_GB2312" w:cs="仿宋_GB2312" w:eastAsia="仿宋_GB2312"/>
                <w:sz w:val="18"/>
              </w:rPr>
              <w:t>个宣传牌，在桥梁跨越保护区赤峪河、田峪河、就峪河、骆峪河等实验区每岸</w:t>
            </w:r>
            <w:r>
              <w:rPr>
                <w:rFonts w:ascii="仿宋_GB2312" w:hAnsi="仿宋_GB2312" w:cs="仿宋_GB2312" w:eastAsia="仿宋_GB2312"/>
                <w:sz w:val="18"/>
              </w:rPr>
              <w:t>3</w:t>
            </w:r>
            <w:r>
              <w:rPr>
                <w:rFonts w:ascii="仿宋_GB2312" w:hAnsi="仿宋_GB2312" w:cs="仿宋_GB2312" w:eastAsia="仿宋_GB2312"/>
                <w:sz w:val="18"/>
              </w:rPr>
              <w:t>个</w:t>
            </w:r>
            <w:r>
              <w:rPr>
                <w:rFonts w:ascii="仿宋_GB2312" w:hAnsi="仿宋_GB2312" w:cs="仿宋_GB2312" w:eastAsia="仿宋_GB2312"/>
                <w:sz w:val="18"/>
              </w:rPr>
              <w:t>，</w:t>
            </w:r>
            <w:r>
              <w:rPr>
                <w:rFonts w:ascii="仿宋_GB2312" w:hAnsi="仿宋_GB2312" w:cs="仿宋_GB2312" w:eastAsia="仿宋_GB2312"/>
                <w:sz w:val="18"/>
              </w:rPr>
              <w:t>各</w:t>
            </w:r>
            <w:r>
              <w:rPr>
                <w:rFonts w:ascii="仿宋_GB2312" w:hAnsi="仿宋_GB2312" w:cs="仿宋_GB2312" w:eastAsia="仿宋_GB2312"/>
                <w:sz w:val="18"/>
              </w:rPr>
              <w:t>河流</w:t>
            </w:r>
            <w:r>
              <w:rPr>
                <w:rFonts w:ascii="仿宋_GB2312" w:hAnsi="仿宋_GB2312" w:cs="仿宋_GB2312" w:eastAsia="仿宋_GB2312"/>
                <w:sz w:val="18"/>
              </w:rPr>
              <w:t>设置</w:t>
            </w:r>
            <w:r>
              <w:rPr>
                <w:rFonts w:ascii="仿宋_GB2312" w:hAnsi="仿宋_GB2312" w:cs="仿宋_GB2312" w:eastAsia="仿宋_GB2312"/>
                <w:sz w:val="18"/>
              </w:rPr>
              <w:t>6</w:t>
            </w:r>
            <w:r>
              <w:rPr>
                <w:rFonts w:ascii="仿宋_GB2312" w:hAnsi="仿宋_GB2312" w:cs="仿宋_GB2312" w:eastAsia="仿宋_GB2312"/>
                <w:sz w:val="18"/>
              </w:rPr>
              <w:t>个宣传牌，分别位于桥位上游</w:t>
            </w:r>
            <w:r>
              <w:rPr>
                <w:rFonts w:ascii="仿宋_GB2312" w:hAnsi="仿宋_GB2312" w:cs="仿宋_GB2312" w:eastAsia="仿宋_GB2312"/>
                <w:sz w:val="18"/>
              </w:rPr>
              <w:t>500m</w:t>
            </w:r>
            <w:r>
              <w:rPr>
                <w:rFonts w:ascii="仿宋_GB2312" w:hAnsi="仿宋_GB2312" w:cs="仿宋_GB2312" w:eastAsia="仿宋_GB2312"/>
                <w:sz w:val="18"/>
              </w:rPr>
              <w:t>、桥位以及桥位下游</w:t>
            </w:r>
            <w:r>
              <w:rPr>
                <w:rFonts w:ascii="仿宋_GB2312" w:hAnsi="仿宋_GB2312" w:cs="仿宋_GB2312" w:eastAsia="仿宋_GB2312"/>
                <w:sz w:val="18"/>
              </w:rPr>
              <w:t>500m</w:t>
            </w:r>
            <w:r>
              <w:rPr>
                <w:rFonts w:ascii="仿宋_GB2312" w:hAnsi="仿宋_GB2312" w:cs="仿宋_GB2312" w:eastAsia="仿宋_GB2312"/>
                <w:sz w:val="18"/>
              </w:rPr>
              <w:t>。</w:t>
            </w:r>
            <w:r>
              <w:rPr>
                <w:rFonts w:ascii="仿宋_GB2312" w:hAnsi="仿宋_GB2312" w:cs="仿宋_GB2312" w:eastAsia="仿宋_GB2312"/>
                <w:sz w:val="18"/>
              </w:rPr>
              <w:t>在黑河干流设置</w:t>
            </w:r>
            <w:r>
              <w:rPr>
                <w:rFonts w:ascii="仿宋_GB2312" w:hAnsi="仿宋_GB2312" w:cs="仿宋_GB2312" w:eastAsia="仿宋_GB2312"/>
                <w:sz w:val="18"/>
              </w:rPr>
              <w:t>8</w:t>
            </w:r>
            <w:r>
              <w:rPr>
                <w:rFonts w:ascii="仿宋_GB2312" w:hAnsi="仿宋_GB2312" w:cs="仿宋_GB2312" w:eastAsia="仿宋_GB2312"/>
                <w:sz w:val="18"/>
              </w:rPr>
              <w:t>个，每岸</w:t>
            </w:r>
            <w:r>
              <w:rPr>
                <w:rFonts w:ascii="仿宋_GB2312" w:hAnsi="仿宋_GB2312" w:cs="仿宋_GB2312" w:eastAsia="仿宋_GB2312"/>
                <w:sz w:val="18"/>
              </w:rPr>
              <w:t>4</w:t>
            </w:r>
            <w:r>
              <w:rPr>
                <w:rFonts w:ascii="仿宋_GB2312" w:hAnsi="仿宋_GB2312" w:cs="仿宋_GB2312" w:eastAsia="仿宋_GB2312"/>
                <w:sz w:val="18"/>
              </w:rPr>
              <w:t>个，分布位于桥位上游</w:t>
            </w:r>
            <w:r>
              <w:rPr>
                <w:rFonts w:ascii="仿宋_GB2312" w:hAnsi="仿宋_GB2312" w:cs="仿宋_GB2312" w:eastAsia="仿宋_GB2312"/>
                <w:sz w:val="18"/>
              </w:rPr>
              <w:t>500m</w:t>
            </w:r>
            <w:r>
              <w:rPr>
                <w:rFonts w:ascii="仿宋_GB2312" w:hAnsi="仿宋_GB2312" w:cs="仿宋_GB2312" w:eastAsia="仿宋_GB2312"/>
                <w:sz w:val="18"/>
              </w:rPr>
              <w:t>、桥位、桥位下游</w:t>
            </w:r>
            <w:r>
              <w:rPr>
                <w:rFonts w:ascii="仿宋_GB2312" w:hAnsi="仿宋_GB2312" w:cs="仿宋_GB2312" w:eastAsia="仿宋_GB2312"/>
                <w:sz w:val="18"/>
              </w:rPr>
              <w:t>500m</w:t>
            </w:r>
            <w:r>
              <w:rPr>
                <w:rFonts w:ascii="仿宋_GB2312" w:hAnsi="仿宋_GB2312" w:cs="仿宋_GB2312" w:eastAsia="仿宋_GB2312"/>
                <w:sz w:val="18"/>
              </w:rPr>
              <w:t>以及桥位下游</w:t>
            </w:r>
            <w:r>
              <w:rPr>
                <w:rFonts w:ascii="仿宋_GB2312" w:hAnsi="仿宋_GB2312" w:cs="仿宋_GB2312" w:eastAsia="仿宋_GB2312"/>
                <w:sz w:val="18"/>
              </w:rPr>
              <w:t>1km</w:t>
            </w:r>
            <w:r>
              <w:rPr>
                <w:rFonts w:ascii="仿宋_GB2312" w:hAnsi="仿宋_GB2312" w:cs="仿宋_GB2312" w:eastAsia="仿宋_GB2312"/>
                <w:sz w:val="18"/>
              </w:rPr>
              <w:t>处。印制宣传册并针对性分发，印制</w:t>
            </w:r>
            <w:r>
              <w:rPr>
                <w:rFonts w:ascii="仿宋_GB2312" w:hAnsi="仿宋_GB2312" w:cs="仿宋_GB2312" w:eastAsia="仿宋_GB2312"/>
                <w:sz w:val="18"/>
              </w:rPr>
              <w:t>A4</w:t>
            </w:r>
            <w:r>
              <w:rPr>
                <w:rFonts w:ascii="仿宋_GB2312" w:hAnsi="仿宋_GB2312" w:cs="仿宋_GB2312" w:eastAsia="仿宋_GB2312"/>
                <w:sz w:val="18"/>
              </w:rPr>
              <w:t>铜版纸宣传册</w:t>
            </w:r>
            <w:r>
              <w:rPr>
                <w:rFonts w:ascii="仿宋_GB2312" w:hAnsi="仿宋_GB2312" w:cs="仿宋_GB2312" w:eastAsia="仿宋_GB2312"/>
                <w:sz w:val="18"/>
              </w:rPr>
              <w:t>5000</w:t>
            </w:r>
            <w:r>
              <w:rPr>
                <w:rFonts w:ascii="仿宋_GB2312" w:hAnsi="仿宋_GB2312" w:cs="仿宋_GB2312" w:eastAsia="仿宋_GB2312"/>
                <w:sz w:val="18"/>
              </w:rPr>
              <w:t>册</w:t>
            </w:r>
            <w:r>
              <w:rPr>
                <w:rFonts w:ascii="仿宋_GB2312" w:hAnsi="仿宋_GB2312" w:cs="仿宋_GB2312" w:eastAsia="仿宋_GB2312"/>
                <w:sz w:val="18"/>
              </w:rPr>
              <w:t>。具体设计如下：</w:t>
            </w:r>
          </w:p>
          <w:p>
            <w:pPr>
              <w:pStyle w:val="null3"/>
              <w:ind w:left="420"/>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）宣传册设计：</w:t>
            </w:r>
          </w:p>
          <w:p>
            <w:pPr>
              <w:pStyle w:val="null3"/>
              <w:ind w:firstLine="480"/>
              <w:jc w:val="both"/>
            </w:pPr>
            <w:r>
              <w:rPr>
                <w:rFonts w:ascii="仿宋_GB2312" w:hAnsi="仿宋_GB2312" w:cs="仿宋_GB2312" w:eastAsia="仿宋_GB2312"/>
                <w:sz w:val="18"/>
              </w:rPr>
              <w:t>宣传册成品尺寸</w:t>
            </w:r>
            <w:r>
              <w:rPr>
                <w:rFonts w:ascii="仿宋_GB2312" w:hAnsi="仿宋_GB2312" w:cs="仿宋_GB2312" w:eastAsia="仿宋_GB2312"/>
                <w:sz w:val="18"/>
              </w:rPr>
              <w:t>：</w:t>
            </w:r>
            <w:r>
              <w:rPr>
                <w:rFonts w:ascii="仿宋_GB2312" w:hAnsi="仿宋_GB2312" w:cs="仿宋_GB2312" w:eastAsia="仿宋_GB2312"/>
                <w:sz w:val="18"/>
              </w:rPr>
              <w:t>420x285mm</w:t>
            </w:r>
            <w:r>
              <w:rPr>
                <w:rFonts w:ascii="仿宋_GB2312" w:hAnsi="仿宋_GB2312" w:cs="仿宋_GB2312" w:eastAsia="仿宋_GB2312"/>
                <w:sz w:val="18"/>
              </w:rPr>
              <w:t>、</w:t>
            </w:r>
            <w:r>
              <w:rPr>
                <w:rFonts w:ascii="仿宋_GB2312" w:hAnsi="仿宋_GB2312" w:cs="仿宋_GB2312" w:eastAsia="仿宋_GB2312"/>
                <w:sz w:val="18"/>
              </w:rPr>
              <w:t>A3/</w:t>
            </w:r>
            <w:r>
              <w:rPr>
                <w:rFonts w:ascii="仿宋_GB2312" w:hAnsi="仿宋_GB2312" w:cs="仿宋_GB2312" w:eastAsia="仿宋_GB2312"/>
                <w:sz w:val="18"/>
              </w:rPr>
              <w:t>大</w:t>
            </w:r>
            <w:r>
              <w:rPr>
                <w:rFonts w:ascii="仿宋_GB2312" w:hAnsi="仿宋_GB2312" w:cs="仿宋_GB2312" w:eastAsia="仿宋_GB2312"/>
                <w:sz w:val="18"/>
              </w:rPr>
              <w:t>8</w:t>
            </w:r>
            <w:r>
              <w:rPr>
                <w:rFonts w:ascii="仿宋_GB2312" w:hAnsi="仿宋_GB2312" w:cs="仿宋_GB2312" w:eastAsia="仿宋_GB2312"/>
                <w:sz w:val="18"/>
              </w:rPr>
              <w:t>开，打印材料为</w:t>
            </w:r>
            <w:r>
              <w:rPr>
                <w:rFonts w:ascii="仿宋_GB2312" w:hAnsi="仿宋_GB2312" w:cs="仿宋_GB2312" w:eastAsia="仿宋_GB2312"/>
                <w:sz w:val="18"/>
              </w:rPr>
              <w:t>157g</w:t>
            </w:r>
            <w:r>
              <w:rPr>
                <w:rFonts w:ascii="仿宋_GB2312" w:hAnsi="仿宋_GB2312" w:cs="仿宋_GB2312" w:eastAsia="仿宋_GB2312"/>
                <w:sz w:val="18"/>
              </w:rPr>
              <w:t>铜版纸。分辨率：</w:t>
            </w:r>
            <w:r>
              <w:rPr>
                <w:rFonts w:ascii="仿宋_GB2312" w:hAnsi="仿宋_GB2312" w:cs="仿宋_GB2312" w:eastAsia="仿宋_GB2312"/>
                <w:sz w:val="18"/>
              </w:rPr>
              <w:t>300dpi</w:t>
            </w:r>
            <w:r>
              <w:rPr>
                <w:rFonts w:ascii="仿宋_GB2312" w:hAnsi="仿宋_GB2312" w:cs="仿宋_GB2312" w:eastAsia="仿宋_GB2312"/>
                <w:sz w:val="18"/>
              </w:rPr>
              <w:t>，出血线：</w:t>
            </w:r>
            <w:r>
              <w:rPr>
                <w:rFonts w:ascii="仿宋_GB2312" w:hAnsi="仿宋_GB2312" w:cs="仿宋_GB2312" w:eastAsia="仿宋_GB2312"/>
                <w:sz w:val="18"/>
              </w:rPr>
              <w:t>3mm</w:t>
            </w:r>
            <w:r>
              <w:rPr>
                <w:rFonts w:ascii="仿宋_GB2312" w:hAnsi="仿宋_GB2312" w:cs="仿宋_GB2312" w:eastAsia="仿宋_GB2312"/>
                <w:sz w:val="18"/>
              </w:rPr>
              <w:t>。</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）宣传栏设计：</w:t>
            </w:r>
          </w:p>
          <w:p>
            <w:pPr>
              <w:pStyle w:val="null3"/>
              <w:ind w:firstLine="480"/>
              <w:jc w:val="both"/>
            </w:pPr>
            <w:r>
              <w:rPr>
                <w:rFonts w:ascii="仿宋_GB2312" w:hAnsi="仿宋_GB2312" w:cs="仿宋_GB2312" w:eastAsia="仿宋_GB2312"/>
                <w:sz w:val="18"/>
              </w:rPr>
              <w:t>宣传设计有两种尺寸，其中大宣传牌</w:t>
            </w:r>
            <w:r>
              <w:rPr>
                <w:rFonts w:ascii="仿宋_GB2312" w:hAnsi="仿宋_GB2312" w:cs="仿宋_GB2312" w:eastAsia="仿宋_GB2312"/>
                <w:sz w:val="18"/>
              </w:rPr>
              <w:t>6</w:t>
            </w:r>
            <w:r>
              <w:rPr>
                <w:rFonts w:ascii="仿宋_GB2312" w:hAnsi="仿宋_GB2312" w:cs="仿宋_GB2312" w:eastAsia="仿宋_GB2312"/>
                <w:sz w:val="18"/>
              </w:rPr>
              <w:t>个，安装尺寸规格为：</w:t>
            </w:r>
            <w:r>
              <w:rPr>
                <w:rFonts w:ascii="仿宋_GB2312" w:hAnsi="仿宋_GB2312" w:cs="仿宋_GB2312" w:eastAsia="仿宋_GB2312"/>
                <w:sz w:val="18"/>
              </w:rPr>
              <w:t>2000mm*4000mm</w:t>
            </w:r>
            <w:r>
              <w:rPr>
                <w:rFonts w:ascii="仿宋_GB2312" w:hAnsi="仿宋_GB2312" w:cs="仿宋_GB2312" w:eastAsia="仿宋_GB2312"/>
                <w:sz w:val="18"/>
              </w:rPr>
              <w:t>；材质为</w:t>
            </w:r>
            <w:r>
              <w:rPr>
                <w:rFonts w:ascii="仿宋_GB2312" w:hAnsi="仿宋_GB2312" w:cs="仿宋_GB2312" w:eastAsia="仿宋_GB2312"/>
                <w:sz w:val="18"/>
              </w:rPr>
              <w:t>3.0</w:t>
            </w:r>
            <w:r>
              <w:rPr>
                <w:rFonts w:ascii="仿宋_GB2312" w:hAnsi="仿宋_GB2312" w:cs="仿宋_GB2312" w:eastAsia="仿宋_GB2312"/>
                <w:sz w:val="18"/>
              </w:rPr>
              <w:t>铝板；配</w:t>
            </w:r>
            <w:r>
              <w:rPr>
                <w:rFonts w:ascii="仿宋_GB2312" w:hAnsi="仿宋_GB2312" w:cs="仿宋_GB2312" w:eastAsia="仿宋_GB2312"/>
                <w:sz w:val="18"/>
              </w:rPr>
              <w:t>300</w:t>
            </w:r>
            <w:r>
              <w:rPr>
                <w:rFonts w:ascii="仿宋_GB2312" w:hAnsi="仿宋_GB2312" w:cs="仿宋_GB2312" w:eastAsia="仿宋_GB2312"/>
                <w:sz w:val="18"/>
              </w:rPr>
              <w:t>*</w:t>
            </w:r>
            <w:r>
              <w:rPr>
                <w:rFonts w:ascii="仿宋_GB2312" w:hAnsi="仿宋_GB2312" w:cs="仿宋_GB2312" w:eastAsia="仿宋_GB2312"/>
                <w:sz w:val="18"/>
              </w:rPr>
              <w:t>300</w:t>
            </w:r>
            <w:r>
              <w:rPr>
                <w:rFonts w:ascii="仿宋_GB2312" w:hAnsi="仿宋_GB2312" w:cs="仿宋_GB2312" w:eastAsia="仿宋_GB2312"/>
                <w:sz w:val="18"/>
              </w:rPr>
              <w:t>预埋件。</w:t>
            </w:r>
          </w:p>
          <w:p>
            <w:pPr>
              <w:pStyle w:val="null3"/>
              <w:ind w:firstLine="200"/>
              <w:jc w:val="both"/>
            </w:pPr>
            <w:r>
              <w:rPr>
                <w:rFonts w:ascii="仿宋_GB2312" w:hAnsi="仿宋_GB2312" w:cs="仿宋_GB2312" w:eastAsia="仿宋_GB2312"/>
                <w:sz w:val="18"/>
              </w:rPr>
              <w:t>小尺寸宣传栏</w:t>
            </w:r>
            <w:r>
              <w:rPr>
                <w:rFonts w:ascii="仿宋_GB2312" w:hAnsi="仿宋_GB2312" w:cs="仿宋_GB2312" w:eastAsia="仿宋_GB2312"/>
                <w:sz w:val="18"/>
              </w:rPr>
              <w:t>26</w:t>
            </w:r>
            <w:r>
              <w:rPr>
                <w:rFonts w:ascii="仿宋_GB2312" w:hAnsi="仿宋_GB2312" w:cs="仿宋_GB2312" w:eastAsia="仿宋_GB2312"/>
                <w:sz w:val="18"/>
              </w:rPr>
              <w:t>个，尺寸规格为</w:t>
            </w:r>
            <w:r>
              <w:rPr>
                <w:rFonts w:ascii="仿宋_GB2312" w:hAnsi="仿宋_GB2312" w:cs="仿宋_GB2312" w:eastAsia="仿宋_GB2312"/>
                <w:sz w:val="18"/>
              </w:rPr>
              <w:t>1000mm*1300mm</w:t>
            </w:r>
            <w:r>
              <w:rPr>
                <w:rFonts w:ascii="仿宋_GB2312" w:hAnsi="仿宋_GB2312" w:cs="仿宋_GB2312" w:eastAsia="仿宋_GB2312"/>
                <w:sz w:val="18"/>
              </w:rPr>
              <w:t>，材料种类：铝；反光膜。</w:t>
            </w:r>
          </w:p>
          <w:p>
            <w:pPr>
              <w:pStyle w:val="null3"/>
              <w:ind w:firstLine="480"/>
              <w:jc w:val="both"/>
            </w:pPr>
            <w:r>
              <w:rPr>
                <w:rFonts w:ascii="仿宋_GB2312" w:hAnsi="仿宋_GB2312" w:cs="仿宋_GB2312" w:eastAsia="仿宋_GB2312"/>
                <w:sz w:val="18"/>
              </w:rPr>
              <w:t>水生生态保护宣贯见下表：</w:t>
            </w:r>
          </w:p>
          <w:tbl>
            <w:tblPr>
              <w:tblInd w:type="dxa" w:w="120"/>
              <w:tblBorders>
                <w:top w:val="none" w:color="000000" w:sz="4"/>
                <w:left w:val="none" w:color="000000" w:sz="4"/>
                <w:bottom w:val="none" w:color="000000" w:sz="4"/>
                <w:right w:val="none" w:color="000000" w:sz="4"/>
                <w:insideH w:val="none"/>
                <w:insideV w:val="none"/>
              </w:tblBorders>
            </w:tblPr>
            <w:tblGrid>
              <w:gridCol w:w="640"/>
              <w:gridCol w:w="424"/>
              <w:gridCol w:w="1489"/>
            </w:tblGrid>
            <w:tr>
              <w:tc>
                <w:tcPr>
                  <w:tcW w:type="dxa" w:w="6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项目名称</w:t>
                  </w:r>
                </w:p>
              </w:tc>
              <w:tc>
                <w:tcPr>
                  <w:tcW w:type="dxa" w:w="42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数量</w:t>
                  </w:r>
                  <w:r>
                    <w:rPr>
                      <w:rFonts w:ascii="仿宋_GB2312" w:hAnsi="仿宋_GB2312" w:cs="仿宋_GB2312" w:eastAsia="仿宋_GB2312"/>
                      <w:sz w:val="18"/>
                      <w:b/>
                    </w:rPr>
                    <w:t>/频次</w:t>
                  </w:r>
                </w:p>
              </w:tc>
              <w:tc>
                <w:tcPr>
                  <w:tcW w:type="dxa" w:w="148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内容</w:t>
                  </w:r>
                </w:p>
              </w:tc>
            </w:tr>
            <w:tr>
              <w:tc>
                <w:tcPr>
                  <w:tcW w:type="dxa" w:w="64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宣传牌设立</w:t>
                  </w:r>
                </w:p>
                <w:p>
                  <w:pPr>
                    <w:pStyle w:val="null3"/>
                    <w:jc w:val="center"/>
                  </w:pPr>
                </w:p>
              </w:tc>
              <w:tc>
                <w:tcPr>
                  <w:tcW w:type="dxa" w:w="4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32个</w:t>
                  </w:r>
                </w:p>
                <w:p>
                  <w:pPr>
                    <w:pStyle w:val="null3"/>
                    <w:jc w:val="center"/>
                  </w:pPr>
                </w:p>
              </w:tc>
              <w:tc>
                <w:tcPr>
                  <w:tcW w:type="dxa" w:w="14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2.0m*4.0m宣传牌6个</w:t>
                  </w:r>
                </w:p>
              </w:tc>
            </w:tr>
            <w:tr>
              <w:tc>
                <w:tcPr>
                  <w:tcW w:type="dxa" w:w="640"/>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4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1.0m*1.3m宣传牌26个</w:t>
                  </w:r>
                </w:p>
              </w:tc>
            </w:tr>
            <w:tr>
              <w:tc>
                <w:tcPr>
                  <w:tcW w:type="dxa" w:w="6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宣传册宣传</w:t>
                  </w:r>
                </w:p>
              </w:tc>
              <w:tc>
                <w:tcPr>
                  <w:tcW w:type="dxa" w:w="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5000册</w:t>
                  </w:r>
                </w:p>
              </w:tc>
              <w:tc>
                <w:tcPr>
                  <w:tcW w:type="dxa" w:w="14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制作、宣传费，铜版纸：</w:t>
                  </w:r>
                  <w:r>
                    <w:rPr>
                      <w:rFonts w:ascii="仿宋_GB2312" w:hAnsi="仿宋_GB2312" w:cs="仿宋_GB2312" w:eastAsia="仿宋_GB2312"/>
                      <w:sz w:val="18"/>
                    </w:rPr>
                    <w:t>420*285）</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满足采购人实际采购要求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满足采购人实际采购要求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满足采购人实际采购要求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满足采购人实际采购要求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5年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符合国家现行有关质量验收规范“合格”要求标准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符合国家现行有关质量验收规范“合格”要求标准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签订合同后，甲方收到乙方提供的普通增值税发票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项目实施过程中，甲方收到乙方提供的普通增值税发票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项目完工待甲方验收合格后，甲方收到乙方提供的普通增值税发票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签订合同后，甲方收到乙方提供的普通增值税发票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项目实施过程中，甲方收到乙方提供的普通增值税发票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项目完工待甲方验收合格后，甲方收到乙方提供的普通增值税发票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服务内容及服务邀请应答表 响应函 资格证明文件.docx 服务方案.docx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服务内容及服务邀请应答表 响应函 资格证明文件.docx 服务方案.docx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根据供应商针对本项目制定的服务方案响应情况进行赋分，方案内容包括：①项目技术方案②工作方法及部署③工作流程④重难点分析⑤服务标准化及规范管理⑥服务目标。 本项目实际情况及实施要求，内容与要点相符、每个要点均有展开详细的阐述且能够适用于本项目的计30分。评审内容任意一项缺项扣5分，扣完为止；评审内容任意一项有缺陷扣2.5分。 未提供或只有标题没有实质性内容的不得分。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供应商针对本项目提出具体的培训服务方案响应情况进行赋分，方案内容包含： ①培训人员安排；②培训内容；③培训时间安排。方案各部分内容全面详细、阐述条理清晰详尽、符合本项目采购需求得15分；评审内容每缺一项扣5分，评审内容有缺陷未完全响应评审标准的扣2.5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项目管理团队人员</w:t>
            </w:r>
          </w:p>
        </w:tc>
        <w:tc>
          <w:tcPr>
            <w:tcW w:type="dxa" w:w="2492"/>
          </w:tcPr>
          <w:p>
            <w:pPr>
              <w:pStyle w:val="null3"/>
            </w:pPr>
            <w:r>
              <w:rPr>
                <w:rFonts w:ascii="仿宋_GB2312" w:hAnsi="仿宋_GB2312" w:cs="仿宋_GB2312" w:eastAsia="仿宋_GB2312"/>
              </w:rPr>
              <w:t>针对本项目的项目负责人具有丰富的工作经验，能够带领及引导团对人员顺利完成项目， 内容全面，计3.1-5分； 内容欠缺，计1-3分； 未提供不计分。 根据针对本项目所配备的人员，并根据项目组人员的相关经验、能力，人员配备是否完整合理综合评定。 1、人员配备完善，完全满足项目需求，计3.1-5分； 2、人员配备欠缺，不利于项目实施，计1-3分；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供应商针对本项目提出具体的应急服务方案响应情况进行赋分，方案内容包含： ①应急服务方案；②应急服务措施。 方案各部分内容全面详细、阐述条理清晰详尽、符合本项目采购需求得8分；评审内容每缺一项扣4分，评审内容有缺陷未完全响应评审标准的扣2分；未提供不得分。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供应商针对本项目提出具体的服务承诺响应情况进行赋分，方案内容包含：①服务质量保证措施②服务质量承诺。 方案各部分内容全面详细、阐述条理清晰详尽、符合本项目采购需求得8分；评审内容每缺一项扣4分，评审内容有缺陷未完全响应评审标准的扣2分；未提供不得分。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供应商针对本项目提出具体的管理制度响应情况进行赋分，方案内容包含：①日常管理制度②考勤制度③考核制度④奖惩制度⑤保密制度。 方案各部分内容全面详细、阐述条理清晰详尽、符合本项目采购需求得15分；评审内容每缺一项扣3分，评审内容有缺陷未完全响应评审标准的扣1.5分；未提供不得分。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提供2022年5月1日以来类似项目的业绩证明文件（即合同或中标通知书，以合同签订时间或中标通知书落款时间为准），评审时以投标文件中的扫描件为计分依据，每出具一份业绩证明文件得2分，满分4分。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磋商报价分应当采用最低价优先法计算，即满足磋商文件要求且投标价格最低的磋商报价为磋商基准价，其价格分为满分。磋商基准价=评审报价的最低值，评审报价等于磋商基准价的得满分 10 分。 磋商报价得分=（磋商基准价/评审报价）×10。 若磋商响应单位的报价明显低于成本价，或报价明显无法达到服务要求，磋商小组有权要求磋商响应单位做出报价澄清并提供相关证明，若在限定时间内无法澄清或无法出具合理的证明，经磋商小组二分之一以上成员认定，该报价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根据供应商针对本项目制定的服务方案响应情况进行赋分，方案内容包括：①项目技术方案②工作方法及部署③工作流程④重难点分析⑤服务标准化及规范管理⑥服务目标。 本项目实际情况及实施要求，内容与要点相符、每个要点均有展开详细的阐述且能够适用于本项目的计30分。评审内容任意一项缺项扣5分，扣完为止；评审内容任意一项有缺陷扣2.5分。 未提供或只有标题没有实质性内容的不得分。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针对本项目提出具体的进度保障措施响应情况进行赋分，方案内容包含：①项目进度计划②计划进度保障③进度管理。方案各部分内容全面详细、阐述条理清晰详尽、符合本项目采购需求得15分；评审内容每缺一项扣5分，评审内容有缺陷未完全响应评审标准的扣2.5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项目管理团队人员</w:t>
            </w:r>
          </w:p>
        </w:tc>
        <w:tc>
          <w:tcPr>
            <w:tcW w:type="dxa" w:w="2492"/>
          </w:tcPr>
          <w:p>
            <w:pPr>
              <w:pStyle w:val="null3"/>
            </w:pPr>
            <w:r>
              <w:rPr>
                <w:rFonts w:ascii="仿宋_GB2312" w:hAnsi="仿宋_GB2312" w:cs="仿宋_GB2312" w:eastAsia="仿宋_GB2312"/>
              </w:rPr>
              <w:t>针对本项目的项目负责人具有丰富的工作经验，能够带领及引导团对人员顺利完成项目， 内容全面，计3.1-5分； 内容欠缺，计1-3分； 未提供不计分。 根据针对本项目所配备的人员，并根据项目组人员的相关经验、能力，人员配备是否完整合理综合评定。 1、人员配备完善，完全满足项目需求，计3.1-5分； 2、人员配备欠缺，不利于项目实施，计1-3分；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供应商针对本项目提出具体的应急服务方案响应情况进行赋分，方案内容包含： ①应急服务方案；②应急服务措施。 方案各部分内容全面详细、阐述条理清晰详尽、符合本项目采购需求得8分；评审内容每缺一项扣4分，评审内容有缺陷未完全响应评审标准的扣2分；未提供不得分。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供应商针对本项目提出具体的服务承诺响应情况进行赋分，方案内容包含：①服务质量保证措施②服务质量承诺。 方案各部分内容全面详细、阐述条理清晰详尽、符合本项目采购需求得8分；评审内容每缺一项扣4分，评审内容有缺陷未完全响应评审标准的扣2分；未提供不得分。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供应商针对本项目提出具体的管理制度响应情况进行赋分，方案内容包含：①日常管理制度②考勤制度③考核制度④奖惩制度⑤保密制度。 方案各部分内容全面详细、阐述条理清晰详尽、符合本项目采购需求得15分；评审内容每缺一项扣3分，评审内容有缺陷未完全响应评审标准的扣1.5分；未提供不得分。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提供2022年5月1日以来类似项目的业绩证明文件（即合同或中标通知书，以合同签订时间或中标通知书落款时间为准），评审时以投标文件中的扫描件为计分依据，每出具一份业绩证明文件得2分，满分4分。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磋商报价分应当采用最低价优先法计算，即满足磋商文件要求且投标价格最低的磋商报价为磋商基准价，其价格分为满分。磋商基准价=评审报价的最低值，评审报价等于磋商基准价的得满分 10 分。 磋商报价得分=（磋商基准价/评审报价）×10。 若磋商响应单位的报价明显低于成本价，或报价明显无法达到服务要求，磋商小组有权要求磋商响应单位做出报价澄清并提供相关证明，若在限定时间内无法澄清或无法出具合理的证明，经磋商小组二分之一以上成员认定，该报价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