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版本号：HZJZS2025-009120250429001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渭河黑河流域土地综合整治项目工程量复测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HZJZS2025-0091</w:t>
      </w:r>
      <w:r>
        <w:br/>
      </w:r>
      <w:r>
        <w:br/>
      </w:r>
      <w:r>
        <w:br/>
      </w:r>
    </w:p>
    <w:p>
      <w:pPr>
        <w:pStyle w:val="null3"/>
        <w:jc w:val="center"/>
        <w:outlineLvl w:val="2"/>
      </w:pPr>
      <w:r>
        <w:rPr>
          <w:rFonts w:ascii="仿宋_GB2312" w:hAnsi="仿宋_GB2312" w:cs="仿宋_GB2312" w:eastAsia="仿宋_GB2312"/>
          <w:sz w:val="28"/>
          <w:b/>
        </w:rPr>
        <w:t>周至县自然资源和规划局</w:t>
      </w:r>
    </w:p>
    <w:p>
      <w:pPr>
        <w:pStyle w:val="null3"/>
        <w:jc w:val="center"/>
        <w:outlineLvl w:val="2"/>
      </w:pPr>
      <w:r>
        <w:rPr>
          <w:rFonts w:ascii="仿宋_GB2312" w:hAnsi="仿宋_GB2312" w:cs="仿宋_GB2312" w:eastAsia="仿宋_GB2312"/>
          <w:sz w:val="28"/>
          <w:b/>
        </w:rPr>
        <w:t>华智建造价咨询有限公司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华智建造价咨询有限公司</w:t>
      </w:r>
      <w:r>
        <w:rPr>
          <w:rFonts w:ascii="仿宋_GB2312" w:hAnsi="仿宋_GB2312" w:cs="仿宋_GB2312" w:eastAsia="仿宋_GB2312"/>
        </w:rPr>
        <w:t>（以下简称“代理机构”）受</w:t>
      </w:r>
      <w:r>
        <w:rPr>
          <w:rFonts w:ascii="仿宋_GB2312" w:hAnsi="仿宋_GB2312" w:cs="仿宋_GB2312" w:eastAsia="仿宋_GB2312"/>
        </w:rPr>
        <w:t>周至县自然资源和规划局</w:t>
      </w:r>
      <w:r>
        <w:rPr>
          <w:rFonts w:ascii="仿宋_GB2312" w:hAnsi="仿宋_GB2312" w:cs="仿宋_GB2312" w:eastAsia="仿宋_GB2312"/>
        </w:rPr>
        <w:t>委托，拟对</w:t>
      </w:r>
      <w:r>
        <w:rPr>
          <w:rFonts w:ascii="仿宋_GB2312" w:hAnsi="仿宋_GB2312" w:cs="仿宋_GB2312" w:eastAsia="仿宋_GB2312"/>
        </w:rPr>
        <w:t>渭河黑河流域土地综合整治项目工程量复测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HZJZS2025-0091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渭河黑河流域土地综合整治项目工程量复测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本次招标范围具体为渭河黑河流域土地综合整治项目工程量复核工作，对工程任务的完成情况，如工程数量、质量等，进行复核并编制相应报告。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1、法定代表人授权书/法定代表人身份证明：法定代表人参加投标时，提供法定代表人身份证明和本人身份证；授权代表参加投标时，提供法定代表人授权书和被授权人身份证；非法人单位参照执行</w:t>
      </w:r>
    </w:p>
    <w:p>
      <w:pPr>
        <w:pStyle w:val="null3"/>
      </w:pPr>
      <w:r>
        <w:rPr>
          <w:rFonts w:ascii="仿宋_GB2312" w:hAnsi="仿宋_GB2312" w:cs="仿宋_GB2312" w:eastAsia="仿宋_GB2312"/>
        </w:rPr>
        <w:t>2、资格证明文件：测绘资质证书乙级及以上（含工程测量）资质</w:t>
      </w:r>
    </w:p>
    <w:p>
      <w:pPr>
        <w:pStyle w:val="null3"/>
      </w:pPr>
      <w:r>
        <w:rPr>
          <w:rFonts w:ascii="仿宋_GB2312" w:hAnsi="仿宋_GB2312" w:cs="仿宋_GB2312" w:eastAsia="仿宋_GB2312"/>
        </w:rPr>
        <w:t>3、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rFonts w:ascii="仿宋_GB2312" w:hAnsi="仿宋_GB2312" w:cs="仿宋_GB2312" w:eastAsia="仿宋_GB2312"/>
        </w:rPr>
        <w:t>4、联合体：本项目不接受联合体磋商，不允许分包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周至县云塔南路1号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张科长</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周至县自然资源和规划局经办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029-85104906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华智建造价咨询有限公司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陕西省西安市莲湖区丰庆路48号1幢305室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029-85798008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采购包1：645,600.00元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成交）金额为基数，按照国家计委计价格［2002］1980号、发改办价格［2003］857号、发改价格[2011]534号文件规定的标准计取。中标（成交）供应商在领取中标（成交）通知书前，须一次性向采购代理机构支付中标（成交）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周至县自然资源和规划局</w:t>
      </w:r>
      <w:r>
        <w:rPr>
          <w:rFonts w:ascii="仿宋_GB2312" w:hAnsi="仿宋_GB2312" w:cs="仿宋_GB2312" w:eastAsia="仿宋_GB2312"/>
        </w:rPr>
        <w:t>和</w:t>
      </w:r>
      <w:r>
        <w:rPr>
          <w:rFonts w:ascii="仿宋_GB2312" w:hAnsi="仿宋_GB2312" w:cs="仿宋_GB2312" w:eastAsia="仿宋_GB2312"/>
        </w:rPr>
        <w:t>华智建造价咨询有限公司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华智建造价咨询有限公司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华智建造价咨询有限公司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（一）由甲方组织验收 （二）验收依据：1、竞争性磋商文件、响应文件、澄清表（函）；2、本合同及附件文本；3、国家相应的标准、规范。 （三）双方拟定的其他条款。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联系电话：029-85798008</w:t>
      </w:r>
    </w:p>
    <w:p>
      <w:pPr>
        <w:pStyle w:val="null3"/>
      </w:pPr>
      <w:r>
        <w:rPr>
          <w:rFonts w:ascii="仿宋_GB2312" w:hAnsi="仿宋_GB2312" w:cs="仿宋_GB2312" w:eastAsia="仿宋_GB2312"/>
        </w:rPr>
        <w:t>地址：陕西省西安市莲湖区丰庆路48号1幢305室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河黑河流域土地综合整治工程位于“一带:秦岭山前洪积平原生态协调控制带”，是黑河渭河流域土地整治和生态修复项目的子工程。该子工程项目的实施，对区域内进行田、水、路、林综合整治，科学、合理地布设农田排灌设施，建设规模约为5003公顷。依据国家相关法律法规和规章制度，按照秦岭山水项目实施方案、验收规范等相关要求，支撑保障项目验收工作规范、准确，开展工程复核工作。 项目区位于周至县境内，涉及二曲街道、富仁镇、四屯镇、集贤镇、楼观镇、司竹镇、尚村镇、哑柏镇、终南镇共9个镇(街)，69个行政村，划分为15个片区，建设规模约为5003公顷。</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645,600.00</w:t>
      </w:r>
    </w:p>
    <w:p>
      <w:pPr>
        <w:pStyle w:val="null3"/>
      </w:pPr>
      <w:r>
        <w:rPr>
          <w:rFonts w:ascii="仿宋_GB2312" w:hAnsi="仿宋_GB2312" w:cs="仿宋_GB2312" w:eastAsia="仿宋_GB2312"/>
        </w:rPr>
        <w:t>采购包最高限价（元）: 645,600.00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渭河黑河流域土地综合整治项目工程量复测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645,600.00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标的名称：渭河黑河流域土地综合整治项目工程量复测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1"/>
              </w:rPr>
              <w:t>项目概况：</w:t>
            </w:r>
            <w:r>
              <w:rPr>
                <w:rFonts w:ascii="仿宋_GB2312" w:hAnsi="仿宋_GB2312" w:cs="仿宋_GB2312" w:eastAsia="仿宋_GB2312"/>
                <w:sz w:val="21"/>
              </w:rPr>
              <w:t>渭河黑河流域土地综合整治工程位于</w:t>
            </w:r>
            <w:r>
              <w:rPr>
                <w:rFonts w:ascii="仿宋_GB2312" w:hAnsi="仿宋_GB2312" w:cs="仿宋_GB2312" w:eastAsia="仿宋_GB2312"/>
                <w:sz w:val="21"/>
              </w:rPr>
              <w:t>“一带:秦岭山前洪积平原生态协调控制带”，是黑河渭河流域土地整治和生态修复项目的子工程。该子工程项目的实施，对区域内进行田、水、路、林综合整治，科学、合理地布设农田排灌设施，建设规模约为5003公顷。依据国家相关法律法规和规章制度，按照秦岭山水项目实施方案、验收规范等相关要求，支撑保障项目验收工作规范、准确，开展工程复核工作。</w:t>
            </w:r>
            <w:r>
              <w:rPr>
                <w:rFonts w:ascii="仿宋_GB2312" w:hAnsi="仿宋_GB2312" w:cs="仿宋_GB2312" w:eastAsia="仿宋_GB2312"/>
                <w:sz w:val="21"/>
              </w:rPr>
              <w:t>项目区位于周至县境内，涉及二曲街道、富仁镇、四屯镇、集贤镇、楼观镇、司竹镇、尚村镇、哑柏镇、终南镇共</w:t>
            </w:r>
            <w:r>
              <w:rPr>
                <w:rFonts w:ascii="仿宋_GB2312" w:hAnsi="仿宋_GB2312" w:cs="仿宋_GB2312" w:eastAsia="仿宋_GB2312"/>
                <w:sz w:val="21"/>
              </w:rPr>
              <w:t>9个镇(街)，69个行政村，划分为15个片区，建设规模约为5003公顷。</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服务期、地点：</w:t>
            </w:r>
          </w:p>
          <w:p>
            <w:pPr>
              <w:pStyle w:val="null3"/>
            </w:pPr>
            <w:r>
              <w:rPr>
                <w:rFonts w:ascii="仿宋_GB2312" w:hAnsi="仿宋_GB2312" w:cs="仿宋_GB2312" w:eastAsia="仿宋_GB2312"/>
                <w:sz w:val="21"/>
              </w:rPr>
              <w:t>服务期</w:t>
            </w:r>
            <w:r>
              <w:rPr>
                <w:rFonts w:ascii="仿宋_GB2312" w:hAnsi="仿宋_GB2312" w:cs="仿宋_GB2312" w:eastAsia="仿宋_GB2312"/>
                <w:sz w:val="21"/>
              </w:rPr>
              <w:t>：自合同签订并收集到相关资料后</w:t>
            </w:r>
            <w:r>
              <w:rPr>
                <w:rFonts w:ascii="仿宋_GB2312" w:hAnsi="仿宋_GB2312" w:cs="仿宋_GB2312" w:eastAsia="仿宋_GB2312"/>
                <w:sz w:val="21"/>
              </w:rPr>
              <w:t>60日内完成工程复核工作，并向甲方交付工作成果</w:t>
            </w:r>
            <w:r>
              <w:rPr>
                <w:rFonts w:ascii="仿宋_GB2312" w:hAnsi="仿宋_GB2312" w:cs="仿宋_GB2312" w:eastAsia="仿宋_GB2312"/>
                <w:sz w:val="21"/>
              </w:rPr>
              <w:t>直至本项目验收完成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服务地点：采购人指定地点</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服务内容：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1）资料收集分析</w:t>
            </w:r>
          </w:p>
          <w:p>
            <w:pPr>
              <w:pStyle w:val="null3"/>
              <w:jc w:val="left"/>
            </w:pPr>
            <w:r>
              <w:rPr>
                <w:rFonts w:ascii="仿宋_GB2312" w:hAnsi="仿宋_GB2312" w:cs="仿宋_GB2312" w:eastAsia="仿宋_GB2312"/>
                <w:sz w:val="21"/>
              </w:rPr>
              <w:t>收集渭河黑河流域土地综合整治工程的下达绩效目标文件、初步设计资料、评审后施工图、竣工测量资料及相关资料。</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2）开展工程复核</w:t>
            </w:r>
          </w:p>
          <w:p>
            <w:pPr>
              <w:pStyle w:val="null3"/>
              <w:jc w:val="left"/>
            </w:pPr>
            <w:r>
              <w:rPr>
                <w:rFonts w:ascii="仿宋_GB2312" w:hAnsi="仿宋_GB2312" w:cs="仿宋_GB2312" w:eastAsia="仿宋_GB2312"/>
                <w:sz w:val="21"/>
              </w:rPr>
              <w:t>对照项目已批复的设计图、竣工测量图，复核项目建设任务完成，核对项目工程数量和工程质量情况。</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3）编制工程复核报告</w:t>
            </w:r>
          </w:p>
          <w:p>
            <w:pPr>
              <w:pStyle w:val="null3"/>
              <w:jc w:val="both"/>
            </w:pPr>
            <w:r>
              <w:rPr>
                <w:rFonts w:ascii="仿宋_GB2312" w:hAnsi="仿宋_GB2312" w:cs="仿宋_GB2312" w:eastAsia="仿宋_GB2312"/>
                <w:sz w:val="21"/>
              </w:rPr>
              <w:t>根据委托方及上级单位要求，依据相关规范，制作项目工程复核报告、复核表及复核图件。</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服务要求：</w:t>
            </w:r>
          </w:p>
          <w:p>
            <w:pPr>
              <w:pStyle w:val="null3"/>
              <w:jc w:val="both"/>
            </w:pPr>
            <w:r>
              <w:rPr>
                <w:rFonts w:ascii="仿宋_GB2312" w:hAnsi="仿宋_GB2312" w:cs="仿宋_GB2312" w:eastAsia="仿宋_GB2312"/>
                <w:sz w:val="21"/>
              </w:rPr>
              <w:t>符</w:t>
            </w:r>
            <w:r>
              <w:rPr>
                <w:rFonts w:ascii="仿宋_GB2312" w:hAnsi="仿宋_GB2312" w:cs="仿宋_GB2312" w:eastAsia="仿宋_GB2312"/>
                <w:sz w:val="21"/>
              </w:rPr>
              <w:t>合国家合格等级</w:t>
            </w:r>
            <w:r>
              <w:rPr>
                <w:rFonts w:ascii="仿宋_GB2312" w:hAnsi="仿宋_GB2312" w:cs="仿宋_GB2312" w:eastAsia="仿宋_GB2312"/>
                <w:sz w:val="21"/>
              </w:rPr>
              <w:t>（</w:t>
            </w:r>
            <w:r>
              <w:rPr>
                <w:rFonts w:ascii="仿宋_GB2312" w:hAnsi="仿宋_GB2312" w:cs="仿宋_GB2312" w:eastAsia="仿宋_GB2312"/>
                <w:sz w:val="21"/>
              </w:rPr>
              <w:t>所有文件应符合国家、地方以及相关专业的现行技术规范、法规、标准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成果要求：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1）纸质成果包含：工程复核表、工程复核报告及工程复核图件。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2）电子成果包含：工程复核表、工程复核报告、工程复核图件以及过程复核记录、相关记录影像等。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自合同签订并收集到相关资料后60日内完成工程复核工作，并向甲方交付工作成果直至本项目验收完成。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（一）由甲方组织验收 （二）验收依据：1、竞争性磋商文件、响应文件、澄清表（函）； 2、本合同及附件文本；3、国家相应的标准、规范。（三）双方拟定的其他条款。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合同签订后，中标人向采购人提供增值税发票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项目成果通过甲方审核验收、移交全部资料后，中标人向采购人提供增值税发票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本项目磋商报价为总价包干。磋商报价是供应商为完成本项目要求的全部服务内容最终价格的体现。2、供应商所报的价格应考虑到可能发生的所有与完成本项目相关服务及履行合同义务有关的一切费用。 3、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必须是具有独立承担民事责任能力的法人、其他组织或自然人，并出具合法有效的营业执照或事业单位法人证书等国家规定的相关证明，自然人参与的提供其身份证明；（2）提供2023年度或2024年度的财务审计报告或开标前6个月内供应商基本存款账户开户银行出具的资信证明及开户许可证（基本存款账户信息）（3）具备履行合同所必需的设备和专业技术能力的证明材料(由供应商根据项目需求提供说明材料或者承诺)；（4）提供磋商截止日前一年内已缴纳的至少一个月的纳税证明或完税证明，依法免税的单位应提供相关证明材料；（5）提供磋商截止日前一年内已缴纳的至少一个月的社会保障资金缴存单据或社保机构开具的社会保险参保缴费情况证明，依法不需要缴纳社会保障资金的单位应提供相关证明材料；（6）提供参加政府采购活动前三年内，在经营活动中没有重大违法记录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或2024年度的财务审计报告或开标前6个月内供应商基本存款账户开户银行出具的资信证明及开户许可证（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法定代表人参加投标时，提供法定代表人身份证明和本人身份证；授权代表参加投标时，提供法定代表人授权书和被授权人身份证；非法人单位参照执行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资格证明文件</w:t>
            </w:r>
          </w:p>
        </w:tc>
        <w:tc>
          <w:tcPr>
            <w:tcW w:type="dxa" w:w="3322"/>
          </w:tcPr>
          <w:p>
            <w:pPr>
              <w:pStyle w:val="null3"/>
            </w:pPr>
            <w:r>
              <w:rPr>
                <w:rFonts w:ascii="仿宋_GB2312" w:hAnsi="仿宋_GB2312" w:cs="仿宋_GB2312" w:eastAsia="仿宋_GB2312"/>
              </w:rPr>
              <w:t>测绘资质证书乙级及以上（含工程测量）资质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本项目不接受联合体磋商，不允许分包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响应函 商务偏离表.docx 资格证明文件.docx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是否专门面向中小企业采购</w:t>
            </w:r>
          </w:p>
        </w:tc>
        <w:tc>
          <w:tcPr>
            <w:tcW w:type="dxa" w:w="3322"/>
          </w:tcPr>
          <w:p>
            <w:pPr>
              <w:pStyle w:val="null3"/>
            </w:pPr>
            <w:r>
              <w:rPr>
                <w:rFonts w:ascii="仿宋_GB2312" w:hAnsi="仿宋_GB2312" w:cs="仿宋_GB2312" w:eastAsia="仿宋_GB2312"/>
              </w:rPr>
              <w:t>本项目非专门面向中小企业采购</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响应函 商务偏离表.docx 资格证明文件.docx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响应文件封面 报价一览表.docx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响应函 商务偏离表.docx 资格证明文件.docx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响应函 商务偏离表.docx 资格证明文件.docx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响应函 商务偏离表.docx 服务方案.docx 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响应函 商务偏离表.docx 服务方案.docx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供应商对本项目有充分的理解与认识，从工作目的及背景、工作任务理解、过程范围、服务要求、工作意义等方面进行贴近项目的、具体详细的、满足采购需求的描述。 对项目实施描述深刻，理解到位，内容完整得（4-6]分； 对项目实施描述简略，理解一般，内容有缺项得（2-4]分。 内容及方案欠缺，可行性差得 （0-2]分； 未提供或不可行、或有重大疏漏得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项目技术方案</w:t>
            </w:r>
          </w:p>
        </w:tc>
        <w:tc>
          <w:tcPr>
            <w:tcW w:type="dxa" w:w="2492"/>
          </w:tcPr>
          <w:p>
            <w:pPr>
              <w:pStyle w:val="null3"/>
            </w:pPr>
            <w:r>
              <w:rPr>
                <w:rFonts w:ascii="仿宋_GB2312" w:hAnsi="仿宋_GB2312" w:cs="仿宋_GB2312" w:eastAsia="仿宋_GB2312"/>
              </w:rPr>
              <w:t>供应商针对本项目提出项目的技术方案，包括技术流程、项目详细技术设计，项目成果内容和交付计划等。 内容及方案科学、合理、准确、可行得（15-20]分； 基本科学、基本合理、基本准确、基本可行得（8-15]分； 内容及方案欠缺，可行性差得（0-8]分； 未提供或不可行、或有重大疏漏得 0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组织管理方案</w:t>
            </w:r>
          </w:p>
        </w:tc>
        <w:tc>
          <w:tcPr>
            <w:tcW w:type="dxa" w:w="2492"/>
          </w:tcPr>
          <w:p>
            <w:pPr>
              <w:pStyle w:val="null3"/>
            </w:pPr>
            <w:r>
              <w:rPr>
                <w:rFonts w:ascii="仿宋_GB2312" w:hAnsi="仿宋_GB2312" w:cs="仿宋_GB2312" w:eastAsia="仿宋_GB2312"/>
              </w:rPr>
              <w:t>供应商针对本项目提出项目的组织管理方案，包括实施组织构成、项目管理制度、风险预见与控制能力等。 内容及方案科学、合理、准确、可行得（6-8]分； 基本科学、基本合理、基本准确、基本可行得（4-6]分； 内容及方案欠缺，可行性差得（0-4]分； 未提供或不可行、或有重大疏漏得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针对本项目基本情况，包括但不限于成员人数、学历、专业资质证书、专业程度、相同或类似项目经验、分工情况、责任明确程度等。 人员经验丰富、专业性强得（7-10分]； 人员经验丰富、专业性一般得（4-7分]； 人员经验丰富、专业性差得（0-4分]。 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针对本项目拟投入仪器设备情况。 仪器设备充足先进、可行性强得（6-8]分； 仪器设备基本充足、可行性一般得（4-6]分； 仪器设备一般充足、可行性差得（0-4]分。 未提供得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项目关键点重难点及解决方案</w:t>
            </w:r>
          </w:p>
        </w:tc>
        <w:tc>
          <w:tcPr>
            <w:tcW w:type="dxa" w:w="2492"/>
          </w:tcPr>
          <w:p>
            <w:pPr>
              <w:pStyle w:val="null3"/>
            </w:pPr>
            <w:r>
              <w:rPr>
                <w:rFonts w:ascii="仿宋_GB2312" w:hAnsi="仿宋_GB2312" w:cs="仿宋_GB2312" w:eastAsia="仿宋_GB2312"/>
              </w:rPr>
              <w:t>对项目实施过程中的关键点、重难点进行分析并提出解决方案，供应商应根据本项目的实际情况，聚焦工程复核事项、工程复核方式或方法，并提出针对性的解决方案。 方案全面、可操作性强，内容完整得（6-8]分； 方案简略、可操作性一般，内容有缺项得（4-6]分。 内容及方案欠缺，可行性差得（0-4]分； 未提供或不可行、或有重大疏漏得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供应商针对本项目提供项目的质量控制及质量保证措施。 质量控制体系科学、措施合理、准确、可行得（6-8]分； 基本合理、基本可行得（4-6]分； 内容欠缺，可行性差得（0-4]分； 未提供或不可行、或有重大疏漏得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供应商针对本项目提供各项计划进度安排及进度保障措施。 保障措施及计划进度安排全面、可行，安排合理，能够保障项目顺利实施得（6-8]分； 保障措施及计划进度安排基本符合项目实施要求得（4-6]分； 保障措施及计划进度安排内容欠缺，合理性差，难以保障项目实施得（0-4]分； 未提供或不可行、或有重大疏漏得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服务承诺和售后服务方案</w:t>
            </w:r>
          </w:p>
        </w:tc>
        <w:tc>
          <w:tcPr>
            <w:tcW w:type="dxa" w:w="2492"/>
          </w:tcPr>
          <w:p>
            <w:pPr>
              <w:pStyle w:val="null3"/>
            </w:pPr>
            <w:r>
              <w:rPr>
                <w:rFonts w:ascii="仿宋_GB2312" w:hAnsi="仿宋_GB2312" w:cs="仿宋_GB2312" w:eastAsia="仿宋_GB2312"/>
              </w:rPr>
              <w:t>投标人针对本项目有合理、详细、完整的服务承诺，并针对本项目提供售后服务保障方案。服务承诺完整，售后服务方案明确，服务内容具体，服务响应时间合理、可行得（4-5]分； 服务承诺基本完整，售后服务方案的内容基本具体，服务响应时间基本合理、可行得（2-4]分； 内容欠缺，可行性差得（0-4]分； 未提供或不可行、或有重大疏漏得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提供2021年1月1日至今同类项目业绩，以合同或中标通知书为准，每提供一份计1分，此项共5分。未提供不得分。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体系证书</w:t>
            </w:r>
          </w:p>
        </w:tc>
        <w:tc>
          <w:tcPr>
            <w:tcW w:type="dxa" w:w="2492"/>
          </w:tcPr>
          <w:p>
            <w:pPr>
              <w:pStyle w:val="null3"/>
            </w:pPr>
            <w:r>
              <w:rPr>
                <w:rFonts w:ascii="仿宋_GB2312" w:hAnsi="仿宋_GB2312" w:cs="仿宋_GB2312" w:eastAsia="仿宋_GB2312"/>
              </w:rPr>
              <w:t>提供供应商质量管理体系证书、环境管理体系认证证书、职业健康安全管理体系认证证书、信息技术服务管理体系认证证书，每提供一个证书计得 1 分，满分 4 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价格分统一采用低价优先法计算，即满足磋商文件要求且最终报价最低的磋商报价为磋商基准价，其价格分为满分。其他供应商的价格分统一按照下列公式计算： 磋商报价得分=(磋商基准价／磋商报价)×10 计算分数时四舍五入取小数点后两位 注：1、磋商小组认为磋商供应商的报价明显低于其他通过符合性审查磋商供应商的报价，有可能影响产品质量或者不能诚信履约的，应当要求其在评审现场合理的时间内提供书面说明，必要时提交相关证明材料; 磋商供应商不能证明其报价合理性的，磋商小组应当将其作为无效投标处理。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报价一览表.docx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