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版本号：SGLQ-202500520250502001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周至县艺术职业学校改建项目项目生态评价服务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SGLQ-2025005</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周至县艺术职业学校改建项目项目生态评价服务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周至县艺术职业学校改建项目项目生态评价服务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周至县艺术职业学校改建项目项目生态评价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供应商须提供2023或2024年财务审计报告（成立时间至提交响应文件截止时间不足一年的可提供成立后任意时段的资产负债表），或其基本存款账户开户银行出具的资信证明及基本存款账户信息（开标前1个月内）</w:t>
      </w:r>
    </w:p>
    <w:p>
      <w:pPr>
        <w:pStyle w:val="null3"/>
      </w:pPr>
      <w:r>
        <w:rPr>
          <w:rFonts w:ascii="仿宋_GB2312" w:hAnsi="仿宋_GB2312" w:cs="仿宋_GB2312" w:eastAsia="仿宋_GB2312"/>
        </w:rPr>
        <w:t>3、税收缴纳证明：提供截止至开标时间前一年内任意一个月的缴纳凭据（依法免税的供应商应提供相关文件证明）</w:t>
      </w:r>
    </w:p>
    <w:p>
      <w:pPr>
        <w:pStyle w:val="null3"/>
      </w:pPr>
      <w:r>
        <w:rPr>
          <w:rFonts w:ascii="仿宋_GB2312" w:hAnsi="仿宋_GB2312" w:cs="仿宋_GB2312" w:eastAsia="仿宋_GB2312"/>
        </w:rPr>
        <w:t>4、社会保障资金缴纳证明：提供截止至开标时间前一年内任意一个月的社保缴纳凭据或社保机构开具的社会保险参保缴纳情况证明（依法不需要缴纳社会保障资金的供应商应提供相关证明）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6、无重大违法记录的书面声明：提供参加政府采购活动前三年内在经营活动中没有重大违法记录的书面声明</w:t>
      </w:r>
    </w:p>
    <w:p>
      <w:pPr>
        <w:pStyle w:val="null3"/>
      </w:pPr>
      <w:r>
        <w:rPr>
          <w:rFonts w:ascii="仿宋_GB2312" w:hAnsi="仿宋_GB2312" w:cs="仿宋_GB2312" w:eastAsia="仿宋_GB2312"/>
        </w:rPr>
        <w:t>7、信用查询：供应商在递交响应文件截止时间前被“信用中国” ( www.creditchina.gov.cn) 和中国政府采购网( www.ccgp.gov.cn) 上被列入失信被执行人、重大税收违法失信主体、政府采购严重违法失信行为记录名单的，不得参加磋商</w:t>
      </w:r>
    </w:p>
    <w:p>
      <w:pPr>
        <w:pStyle w:val="null3"/>
      </w:pPr>
      <w:r>
        <w:rPr>
          <w:rFonts w:ascii="仿宋_GB2312" w:hAnsi="仿宋_GB2312" w:cs="仿宋_GB2312" w:eastAsia="仿宋_GB2312"/>
        </w:rPr>
        <w:t>8、控股、管理关系：单位负责人为同一人或者存在直接控股、管理关系的不同供应商，不得参加本次采购活动</w:t>
      </w:r>
    </w:p>
    <w:p>
      <w:pPr>
        <w:pStyle w:val="null3"/>
      </w:pPr>
      <w:r>
        <w:rPr>
          <w:rFonts w:ascii="仿宋_GB2312" w:hAnsi="仿宋_GB2312" w:cs="仿宋_GB2312" w:eastAsia="仿宋_GB2312"/>
        </w:rPr>
        <w:t>9、授权代表：法定代表人参加磋商的，须出具法定代表人身份证明，并与营业执照上信息一致。法定代表人授权代表参加磋商的，须出具法定代表人授权书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87150113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代理服务费收费标准：中标单位在领取中标通知书前，须向招标代理机构支付招标代理服务费，招标代理服务费由招标人与招标代理机构约定： 参照国家计委关于印发《招标代理服务收费管理暂行办法》的通知（计价格〔2002〕1980号）、《国家发展和改革委员会办公厅关于招标代理服务收费有关问题的通知》（发改办价格〔2003〕857号）规定向中标人收取代理服务费，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完成合同约定的全部内容且符合国家、行业的标准和有关规定。 具体内容见招标文件约定。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地址：西安市雁塔区金辉环球中心C座1509室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周至县艺术职业学校改建项目项目生态评价服务，具体内容详见招标文件要求。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211,000.00</w:t>
      </w:r>
    </w:p>
    <w:p>
      <w:pPr>
        <w:pStyle w:val="null3"/>
      </w:pPr>
      <w:r>
        <w:rPr>
          <w:rFonts w:ascii="仿宋_GB2312" w:hAnsi="仿宋_GB2312" w:cs="仿宋_GB2312" w:eastAsia="仿宋_GB2312"/>
        </w:rPr>
        <w:t>采购包最高限价（元）: 211,000.00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一、招标内容</w:t>
            </w:r>
          </w:p>
          <w:p>
            <w:pPr>
              <w:pStyle w:val="null3"/>
              <w:ind w:firstLine="480"/>
              <w:jc w:val="left"/>
            </w:pPr>
            <w:r>
              <w:rPr>
                <w:rFonts w:ascii="仿宋_GB2312" w:hAnsi="仿宋_GB2312" w:cs="仿宋_GB2312" w:eastAsia="仿宋_GB2312"/>
                <w:sz w:val="24"/>
              </w:rPr>
              <w:t>项目名称：周至县艺术职业学校改建项目项目生态评价服务</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SGLQ-2025005</w:t>
            </w:r>
          </w:p>
          <w:p>
            <w:pPr>
              <w:pStyle w:val="null3"/>
              <w:ind w:firstLine="480"/>
              <w:jc w:val="left"/>
            </w:pPr>
            <w:r>
              <w:rPr>
                <w:rFonts w:ascii="仿宋_GB2312" w:hAnsi="仿宋_GB2312" w:cs="仿宋_GB2312" w:eastAsia="仿宋_GB2312"/>
                <w:sz w:val="24"/>
              </w:rPr>
              <w:t>服务地点：周至县富仁镇渭兴村</w:t>
            </w:r>
          </w:p>
          <w:p>
            <w:pPr>
              <w:pStyle w:val="null3"/>
              <w:ind w:firstLine="480"/>
              <w:jc w:val="left"/>
            </w:pPr>
            <w:r>
              <w:rPr>
                <w:rFonts w:ascii="仿宋_GB2312" w:hAnsi="仿宋_GB2312" w:cs="仿宋_GB2312" w:eastAsia="仿宋_GB2312"/>
                <w:sz w:val="24"/>
              </w:rPr>
              <w:t>招标最高限价：</w:t>
            </w:r>
            <w:r>
              <w:rPr>
                <w:rFonts w:ascii="仿宋_GB2312" w:hAnsi="仿宋_GB2312" w:cs="仿宋_GB2312" w:eastAsia="仿宋_GB2312"/>
                <w:sz w:val="24"/>
              </w:rPr>
              <w:t>211000.00元</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项目概况</w:t>
            </w:r>
          </w:p>
          <w:p>
            <w:pPr>
              <w:pStyle w:val="null3"/>
              <w:ind w:firstLine="480"/>
              <w:jc w:val="left"/>
            </w:pPr>
            <w:r>
              <w:rPr>
                <w:rFonts w:ascii="仿宋_GB2312" w:hAnsi="仿宋_GB2312" w:cs="仿宋_GB2312" w:eastAsia="仿宋_GB2312"/>
                <w:sz w:val="24"/>
              </w:rPr>
              <w:t>周至县艺术职业学校改建项目总面积</w:t>
            </w:r>
            <w:r>
              <w:rPr>
                <w:rFonts w:ascii="仿宋_GB2312" w:hAnsi="仿宋_GB2312" w:cs="仿宋_GB2312" w:eastAsia="仿宋_GB2312"/>
                <w:sz w:val="24"/>
              </w:rPr>
              <w:t>6629.33㎡，其中：建筑物改建面积2629.33㎡，主要包括演练厅、1#教学楼、2#教学楼、综合楼、练功房等附属工程；改建室外活动场地4000㎡。</w:t>
            </w:r>
          </w:p>
          <w:p>
            <w:pPr>
              <w:pStyle w:val="null3"/>
              <w:ind w:firstLine="480"/>
              <w:jc w:val="left"/>
            </w:pPr>
            <w:r>
              <w:rPr>
                <w:rFonts w:ascii="仿宋_GB2312" w:hAnsi="仿宋_GB2312" w:cs="仿宋_GB2312" w:eastAsia="仿宋_GB2312"/>
                <w:sz w:val="24"/>
              </w:rPr>
              <w:t>本项目实施后将进一步提升艺校教育办学条件，为更多学生提供接受教育和享受优质教育资源的机会。项目建成后将有效提升学校教育质量和综合发展水平，有利于扩大全县职业教育办学规模，对加快我县职业教育建设进程，推进职业教育发展具有十分重要的意义，其社会效益非常显著。</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服务内容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周至县艺术职业学校改建项目项目生态评价报告编制，办理报审及评审、通过审查并取得行政主管部门批复文件或审查意见。</w:t>
            </w:r>
          </w:p>
          <w:p>
            <w:pPr>
              <w:pStyle w:val="null3"/>
              <w:ind w:firstLine="480"/>
              <w:jc w:val="left"/>
            </w:pPr>
            <w:r>
              <w:rPr>
                <w:rFonts w:ascii="仿宋_GB2312" w:hAnsi="仿宋_GB2312" w:cs="仿宋_GB2312" w:eastAsia="仿宋_GB2312"/>
                <w:sz w:val="24"/>
              </w:rPr>
              <w:t>（一）现场调查评估</w:t>
            </w:r>
          </w:p>
          <w:p>
            <w:pPr>
              <w:pStyle w:val="null3"/>
              <w:ind w:firstLine="480"/>
              <w:jc w:val="left"/>
            </w:pPr>
            <w:r>
              <w:rPr>
                <w:rFonts w:ascii="仿宋_GB2312" w:hAnsi="仿宋_GB2312" w:cs="仿宋_GB2312" w:eastAsia="仿宋_GB2312"/>
                <w:sz w:val="24"/>
              </w:rPr>
              <w:t>1、现场踏勘；</w:t>
            </w:r>
          </w:p>
          <w:p>
            <w:pPr>
              <w:pStyle w:val="null3"/>
              <w:ind w:firstLine="480"/>
              <w:jc w:val="left"/>
            </w:pPr>
            <w:r>
              <w:rPr>
                <w:rFonts w:ascii="仿宋_GB2312" w:hAnsi="仿宋_GB2312" w:cs="仿宋_GB2312" w:eastAsia="仿宋_GB2312"/>
                <w:sz w:val="24"/>
              </w:rPr>
              <w:t>2、河道管理区内水生及陆地动物、水生植物的类型、分布及活动范围调查；河堤沿线植物分布调查汇总；</w:t>
            </w:r>
          </w:p>
          <w:p>
            <w:pPr>
              <w:pStyle w:val="null3"/>
              <w:ind w:firstLine="480"/>
              <w:jc w:val="left"/>
            </w:pPr>
            <w:r>
              <w:rPr>
                <w:rFonts w:ascii="仿宋_GB2312" w:hAnsi="仿宋_GB2312" w:cs="仿宋_GB2312" w:eastAsia="仿宋_GB2312"/>
                <w:sz w:val="24"/>
              </w:rPr>
              <w:t>3、一级与二级管控区动植物调查，汇总。</w:t>
            </w:r>
          </w:p>
          <w:p>
            <w:pPr>
              <w:pStyle w:val="null3"/>
              <w:ind w:firstLine="480"/>
              <w:jc w:val="left"/>
            </w:pPr>
            <w:r>
              <w:rPr>
                <w:rFonts w:ascii="仿宋_GB2312" w:hAnsi="仿宋_GB2312" w:cs="仿宋_GB2312" w:eastAsia="仿宋_GB2312"/>
                <w:sz w:val="24"/>
              </w:rPr>
              <w:t>4、国家保护物种、生态湿地、风景区、遗址等调查；</w:t>
            </w:r>
          </w:p>
          <w:p>
            <w:pPr>
              <w:pStyle w:val="null3"/>
              <w:ind w:firstLine="480"/>
              <w:jc w:val="left"/>
            </w:pPr>
            <w:r>
              <w:rPr>
                <w:rFonts w:ascii="仿宋_GB2312" w:hAnsi="仿宋_GB2312" w:cs="仿宋_GB2312" w:eastAsia="仿宋_GB2312"/>
                <w:sz w:val="24"/>
              </w:rPr>
              <w:t>5、与林业、水利及各部门、相关单位对接调查成果。</w:t>
            </w:r>
          </w:p>
          <w:p>
            <w:pPr>
              <w:pStyle w:val="null3"/>
              <w:ind w:firstLine="480"/>
              <w:jc w:val="left"/>
            </w:pPr>
            <w:r>
              <w:rPr>
                <w:rFonts w:ascii="仿宋_GB2312" w:hAnsi="仿宋_GB2312" w:cs="仿宋_GB2312" w:eastAsia="仿宋_GB2312"/>
                <w:sz w:val="24"/>
              </w:rPr>
              <w:t>6、有关资料搜集、整理、分析、处理。</w:t>
            </w:r>
          </w:p>
          <w:p>
            <w:pPr>
              <w:pStyle w:val="null3"/>
              <w:ind w:firstLine="480"/>
              <w:jc w:val="left"/>
            </w:pPr>
            <w:r>
              <w:rPr>
                <w:rFonts w:ascii="仿宋_GB2312" w:hAnsi="仿宋_GB2312" w:cs="仿宋_GB2312" w:eastAsia="仿宋_GB2312"/>
                <w:sz w:val="24"/>
              </w:rPr>
              <w:t>（二）勘测</w:t>
            </w:r>
          </w:p>
          <w:p>
            <w:pPr>
              <w:pStyle w:val="null3"/>
              <w:ind w:firstLine="480"/>
              <w:jc w:val="left"/>
            </w:pPr>
            <w:r>
              <w:rPr>
                <w:rFonts w:ascii="仿宋_GB2312" w:hAnsi="仿宋_GB2312" w:cs="仿宋_GB2312" w:eastAsia="仿宋_GB2312"/>
                <w:sz w:val="24"/>
              </w:rPr>
              <w:t>1、航飞影像视频拍摄和制作；</w:t>
            </w:r>
          </w:p>
          <w:p>
            <w:pPr>
              <w:pStyle w:val="null3"/>
              <w:ind w:firstLine="480"/>
              <w:jc w:val="left"/>
            </w:pPr>
            <w:r>
              <w:rPr>
                <w:rFonts w:ascii="仿宋_GB2312" w:hAnsi="仿宋_GB2312" w:cs="仿宋_GB2312" w:eastAsia="仿宋_GB2312"/>
                <w:sz w:val="24"/>
              </w:rPr>
              <w:t>2、航测，含正射影像、1:1000地形图；</w:t>
            </w:r>
          </w:p>
          <w:p>
            <w:pPr>
              <w:pStyle w:val="null3"/>
              <w:ind w:firstLine="480"/>
              <w:jc w:val="left"/>
            </w:pPr>
            <w:r>
              <w:rPr>
                <w:rFonts w:ascii="仿宋_GB2312" w:hAnsi="仿宋_GB2312" w:cs="仿宋_GB2312" w:eastAsia="仿宋_GB2312"/>
                <w:sz w:val="24"/>
              </w:rPr>
              <w:t>3、地形、地貌、水系及相关资源普查；</w:t>
            </w:r>
          </w:p>
          <w:p>
            <w:pPr>
              <w:pStyle w:val="null3"/>
              <w:ind w:firstLine="480"/>
              <w:jc w:val="left"/>
            </w:pPr>
            <w:r>
              <w:rPr>
                <w:rFonts w:ascii="仿宋_GB2312" w:hAnsi="仿宋_GB2312" w:cs="仿宋_GB2312" w:eastAsia="仿宋_GB2312"/>
                <w:sz w:val="24"/>
              </w:rPr>
              <w:t>4、涉河段水资源、洪水、泥沙等普查。</w:t>
            </w:r>
          </w:p>
          <w:p>
            <w:pPr>
              <w:pStyle w:val="null3"/>
              <w:ind w:firstLine="480"/>
              <w:jc w:val="left"/>
            </w:pPr>
            <w:r>
              <w:rPr>
                <w:rFonts w:ascii="仿宋_GB2312" w:hAnsi="仿宋_GB2312" w:cs="仿宋_GB2312" w:eastAsia="仿宋_GB2312"/>
                <w:sz w:val="24"/>
              </w:rPr>
              <w:t>（三）报告编制</w:t>
            </w:r>
          </w:p>
          <w:p>
            <w:pPr>
              <w:pStyle w:val="null3"/>
              <w:ind w:firstLine="480"/>
              <w:jc w:val="left"/>
            </w:pPr>
            <w:r>
              <w:rPr>
                <w:rFonts w:ascii="仿宋_GB2312" w:hAnsi="仿宋_GB2312" w:cs="仿宋_GB2312" w:eastAsia="仿宋_GB2312"/>
                <w:sz w:val="24"/>
              </w:rPr>
              <w:t>1、摸清项目基本情况，并理清与生态区的有关关系和上位规划关系；</w:t>
            </w:r>
          </w:p>
          <w:p>
            <w:pPr>
              <w:pStyle w:val="null3"/>
              <w:ind w:firstLine="480"/>
              <w:jc w:val="left"/>
            </w:pPr>
            <w:r>
              <w:rPr>
                <w:rFonts w:ascii="仿宋_GB2312" w:hAnsi="仿宋_GB2312" w:cs="仿宋_GB2312" w:eastAsia="仿宋_GB2312"/>
                <w:sz w:val="24"/>
              </w:rPr>
              <w:t>2、搜集分析编制依据、论证并制定编制目标、方法；</w:t>
            </w:r>
          </w:p>
          <w:p>
            <w:pPr>
              <w:pStyle w:val="null3"/>
              <w:ind w:firstLine="480"/>
              <w:jc w:val="left"/>
            </w:pPr>
            <w:r>
              <w:rPr>
                <w:rFonts w:ascii="仿宋_GB2312" w:hAnsi="仿宋_GB2312" w:cs="仿宋_GB2312" w:eastAsia="仿宋_GB2312"/>
                <w:sz w:val="24"/>
              </w:rPr>
              <w:t>3、拟定评价重点内容，制定评价标准；</w:t>
            </w:r>
          </w:p>
          <w:p>
            <w:pPr>
              <w:pStyle w:val="null3"/>
              <w:ind w:firstLine="480"/>
              <w:jc w:val="left"/>
            </w:pPr>
            <w:r>
              <w:rPr>
                <w:rFonts w:ascii="仿宋_GB2312" w:hAnsi="仿宋_GB2312" w:cs="仿宋_GB2312" w:eastAsia="仿宋_GB2312"/>
                <w:sz w:val="24"/>
              </w:rPr>
              <w:t>4、研究划定评价对象、范围及有关要求；</w:t>
            </w:r>
          </w:p>
          <w:p>
            <w:pPr>
              <w:pStyle w:val="null3"/>
              <w:ind w:firstLine="480"/>
              <w:jc w:val="left"/>
            </w:pPr>
            <w:r>
              <w:rPr>
                <w:rFonts w:ascii="仿宋_GB2312" w:hAnsi="仿宋_GB2312" w:cs="仿宋_GB2312" w:eastAsia="仿宋_GB2312"/>
                <w:sz w:val="24"/>
              </w:rPr>
              <w:t>5、指定评价等级、时段、程度、原则等有关指标；</w:t>
            </w:r>
          </w:p>
          <w:p>
            <w:pPr>
              <w:pStyle w:val="null3"/>
              <w:ind w:firstLine="480"/>
              <w:jc w:val="left"/>
            </w:pPr>
            <w:r>
              <w:rPr>
                <w:rFonts w:ascii="仿宋_GB2312" w:hAnsi="仿宋_GB2312" w:cs="仿宋_GB2312" w:eastAsia="仿宋_GB2312"/>
                <w:sz w:val="24"/>
              </w:rPr>
              <w:t>6、提炼项目建设方案，论证建设方案在生态区穿越的可行性；</w:t>
            </w:r>
          </w:p>
          <w:p>
            <w:pPr>
              <w:pStyle w:val="null3"/>
              <w:ind w:firstLine="480"/>
              <w:jc w:val="left"/>
            </w:pPr>
            <w:r>
              <w:rPr>
                <w:rFonts w:ascii="仿宋_GB2312" w:hAnsi="仿宋_GB2312" w:cs="仿宋_GB2312" w:eastAsia="仿宋_GB2312"/>
                <w:sz w:val="24"/>
              </w:rPr>
              <w:t>7、进行现场调查成果进行分析和评估，进行影响预测分析；</w:t>
            </w:r>
          </w:p>
          <w:p>
            <w:pPr>
              <w:pStyle w:val="null3"/>
              <w:ind w:firstLine="480"/>
              <w:jc w:val="left"/>
            </w:pPr>
            <w:r>
              <w:rPr>
                <w:rFonts w:ascii="仿宋_GB2312" w:hAnsi="仿宋_GB2312" w:cs="仿宋_GB2312" w:eastAsia="仿宋_GB2312"/>
                <w:sz w:val="24"/>
              </w:rPr>
              <w:t>8、论证工程穿越生态区的布线合理性，选址合理性及工程规模合理性，并展开对生态区的影响程度进行评价分析；</w:t>
            </w:r>
          </w:p>
          <w:p>
            <w:pPr>
              <w:pStyle w:val="null3"/>
              <w:ind w:firstLine="480"/>
              <w:jc w:val="left"/>
            </w:pPr>
            <w:r>
              <w:rPr>
                <w:rFonts w:ascii="仿宋_GB2312" w:hAnsi="仿宋_GB2312" w:cs="仿宋_GB2312" w:eastAsia="仿宋_GB2312"/>
                <w:sz w:val="24"/>
              </w:rPr>
              <w:t>9、开展涵盖河流形态、水生态、岸滩不同的植被类型及生境类型、生物多样性等开展分析工作；</w:t>
            </w:r>
          </w:p>
          <w:p>
            <w:pPr>
              <w:pStyle w:val="null3"/>
              <w:ind w:firstLine="480"/>
              <w:jc w:val="left"/>
            </w:pPr>
            <w:r>
              <w:rPr>
                <w:rFonts w:ascii="仿宋_GB2312" w:hAnsi="仿宋_GB2312" w:cs="仿宋_GB2312" w:eastAsia="仿宋_GB2312"/>
                <w:sz w:val="24"/>
              </w:rPr>
              <w:t>10、对项目经过生态区段的防洪工程、涉河建设项目、生态工程等进行影响分析并评价；</w:t>
            </w:r>
          </w:p>
          <w:p>
            <w:pPr>
              <w:pStyle w:val="null3"/>
              <w:ind w:firstLine="480"/>
              <w:jc w:val="left"/>
            </w:pPr>
            <w:r>
              <w:rPr>
                <w:rFonts w:ascii="仿宋_GB2312" w:hAnsi="仿宋_GB2312" w:cs="仿宋_GB2312" w:eastAsia="仿宋_GB2312"/>
                <w:sz w:val="24"/>
              </w:rPr>
              <w:t>11、提出减轻或者消除不利影响的生态修复措施，并形成成果性资料；</w:t>
            </w:r>
          </w:p>
          <w:p>
            <w:pPr>
              <w:pStyle w:val="null3"/>
              <w:ind w:firstLine="480"/>
              <w:jc w:val="left"/>
            </w:pPr>
            <w:r>
              <w:rPr>
                <w:rFonts w:ascii="仿宋_GB2312" w:hAnsi="仿宋_GB2312" w:cs="仿宋_GB2312" w:eastAsia="仿宋_GB2312"/>
                <w:sz w:val="24"/>
              </w:rPr>
              <w:t>12、分析工程施工对生态完整性的影响，结合本建筑物设施布局，分析其协调性和完整性及其对渭河生态的影响程度；</w:t>
            </w:r>
          </w:p>
          <w:p>
            <w:pPr>
              <w:pStyle w:val="null3"/>
              <w:ind w:firstLine="480"/>
              <w:jc w:val="left"/>
            </w:pPr>
            <w:r>
              <w:rPr>
                <w:rFonts w:ascii="仿宋_GB2312" w:hAnsi="仿宋_GB2312" w:cs="仿宋_GB2312" w:eastAsia="仿宋_GB2312"/>
                <w:sz w:val="24"/>
              </w:rPr>
              <w:t>13、对施工、运营等产生的生态干扰、影响作出评估；</w:t>
            </w:r>
          </w:p>
          <w:p>
            <w:pPr>
              <w:pStyle w:val="null3"/>
              <w:ind w:firstLine="480"/>
              <w:jc w:val="left"/>
            </w:pPr>
            <w:r>
              <w:rPr>
                <w:rFonts w:ascii="仿宋_GB2312" w:hAnsi="仿宋_GB2312" w:cs="仿宋_GB2312" w:eastAsia="仿宋_GB2312"/>
                <w:sz w:val="24"/>
              </w:rPr>
              <w:t>14、合理提出避让、减缓、修复、补偿等对策措施，并制定实施管理计划及要求；</w:t>
            </w:r>
          </w:p>
          <w:p>
            <w:pPr>
              <w:pStyle w:val="null3"/>
              <w:ind w:firstLine="480"/>
              <w:jc w:val="left"/>
            </w:pPr>
            <w:r>
              <w:rPr>
                <w:rFonts w:ascii="仿宋_GB2312" w:hAnsi="仿宋_GB2312" w:cs="仿宋_GB2312" w:eastAsia="仿宋_GB2312"/>
                <w:sz w:val="24"/>
              </w:rPr>
              <w:t>估算生态措施及其有关费用；</w:t>
            </w:r>
          </w:p>
          <w:p>
            <w:pPr>
              <w:pStyle w:val="null3"/>
              <w:ind w:firstLine="480"/>
              <w:jc w:val="left"/>
            </w:pPr>
            <w:r>
              <w:rPr>
                <w:rFonts w:ascii="仿宋_GB2312" w:hAnsi="仿宋_GB2312" w:cs="仿宋_GB2312" w:eastAsia="仿宋_GB2312"/>
                <w:sz w:val="24"/>
              </w:rPr>
              <w:t>15、形成主要成果性结论及意见。</w:t>
            </w:r>
          </w:p>
          <w:p>
            <w:pPr>
              <w:pStyle w:val="null3"/>
              <w:ind w:firstLine="480"/>
              <w:jc w:val="left"/>
            </w:pPr>
            <w:r>
              <w:rPr>
                <w:rFonts w:ascii="仿宋_GB2312" w:hAnsi="仿宋_GB2312" w:cs="仿宋_GB2312" w:eastAsia="仿宋_GB2312"/>
                <w:sz w:val="24"/>
              </w:rPr>
              <w:t>四、服务期：自合同签订之日起</w:t>
            </w:r>
            <w:r>
              <w:rPr>
                <w:rFonts w:ascii="仿宋_GB2312" w:hAnsi="仿宋_GB2312" w:cs="仿宋_GB2312" w:eastAsia="仿宋_GB2312"/>
                <w:sz w:val="24"/>
              </w:rPr>
              <w:t>30天</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质量要求：符合国家、行业的标准和有关规定</w:t>
            </w:r>
          </w:p>
          <w:p>
            <w:pPr>
              <w:pStyle w:val="null3"/>
              <w:ind w:firstLine="480"/>
              <w:jc w:val="left"/>
            </w:pPr>
            <w:r>
              <w:rPr>
                <w:rFonts w:ascii="仿宋_GB2312" w:hAnsi="仿宋_GB2312" w:cs="仿宋_GB2312" w:eastAsia="仿宋_GB2312"/>
                <w:sz w:val="24"/>
              </w:rPr>
              <w:t>六、</w:t>
            </w:r>
            <w:r>
              <w:rPr>
                <w:rFonts w:ascii="仿宋_GB2312" w:hAnsi="仿宋_GB2312" w:cs="仿宋_GB2312" w:eastAsia="仿宋_GB2312"/>
                <w:sz w:val="24"/>
              </w:rPr>
              <w:t>付款方式：本项目无预付款，成果文件</w:t>
            </w:r>
            <w:r>
              <w:rPr>
                <w:rFonts w:ascii="仿宋_GB2312" w:hAnsi="仿宋_GB2312" w:cs="仿宋_GB2312" w:eastAsia="仿宋_GB2312"/>
                <w:sz w:val="24"/>
              </w:rPr>
              <w:t>通过审查并取得行政主管部门批复文件或审查意见后</w:t>
            </w:r>
            <w:r>
              <w:rPr>
                <w:rFonts w:ascii="仿宋_GB2312" w:hAnsi="仿宋_GB2312" w:cs="仿宋_GB2312" w:eastAsia="仿宋_GB2312"/>
                <w:sz w:val="24"/>
              </w:rPr>
              <w:t>15内，一次性付清。</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由供应商根据招标文件的服务内容和评审方法自行拟定。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由供应商根据招标文件的服务内容和评审方法自行拟定。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完成合同约定的全部内容且符合国家、行业的标准和有关规定。 具体内容见招标文件约定。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成果文件通过审查并取得行政主管部门批复文件或审查意见</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中标供应商需在中标结果公示日5内将本项目投标文件打印胶装三份，送至招标代理机构留存。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响应文件封面 残疾人福利性单位声明函 服务方案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（1）、《节能产品政府采购实施意见》--（财库[2004]185号）； （2）、《环境标志产品政府采购实施的意见》--（财库[2006]90号）； （3）、《国务院办公厅关于建立政府强制采购节能产品制度的通知》--（国办[2007]51号）； （4）、《财政部司法部关于政府采购支持监狱企业发展有关问题的通知》--（财库[2014]68号）； （5）、《三部门联合发布关于促进残疾人就业政府采购政策的通知》--（财库[2017]141号）； （6）、《陕西省中小企业政府采购信用融资办法》--（陕财办采[2018]23号）； （7）、《财政部发展改革委生态环境部市场监管总局关于调整优化节能产品、环境标志产品政府采购执行机制的通知》--（财库[2019]9号）； （8）、《财政部国务院扶贫办关于运用政府采购政策支持脱贫攻坚的通知》--（财库[2019]27号）； （9）、《政府采购促进中小企业发展管理办法》的通知--（财库[2020]46号）； （10）、《财政部 农业农村部 国家乡村振兴局关于运用政府采购政策支持乡村产业振兴的通知》--（财库〔2021〕19号）； （11）、《财政部关于进一步加大政府采购支持中小企业力度的通知》--（财库[2022]19号） （12）、其他需要落实的政府采购政策。 若享受以上政策优惠的企业，提供相应声明函或品目清单范围内产品的有效认证证书。 本项目非专门面向中小企业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供应商须提供2023或2024年财务审计报告（成立时间至提交响应文件截止时间不足一年的可提供成立后任意时段的资产负债表），或其基本存款账户开户银行出具的资信证明及基本存款账户信息（开标前1个月内）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www.creditchina.gov.cn) 和中国政府采购网( www.ccgp.gov.cn) 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法定代表人参加磋商的，须出具法定代表人身份证明，并与营业执照上信息一致。法定代表人授权代表参加磋商的，须出具法定代表人授权书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在磋商文件中指定落款处，按文件要求盖章或签字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服务特点，对本项目的基本情况实施方案思路的清晰性与合理性，以及内容完整性，视其响应程度方案完整详细、有针对性、可操作性强得10-15分；方案较详细、针对性较低、可操作性较低得5-10分（不含10分）；方案一般、针对性低、可操作性低得0-5分（不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生态评价与生态修复措施方案</w:t>
            </w:r>
          </w:p>
        </w:tc>
        <w:tc>
          <w:tcPr>
            <w:tcW w:type="dxa" w:w="2492"/>
          </w:tcPr>
          <w:p>
            <w:pPr>
              <w:pStyle w:val="null3"/>
            </w:pPr>
            <w:r>
              <w:rPr>
                <w:rFonts w:ascii="仿宋_GB2312" w:hAnsi="仿宋_GB2312" w:cs="仿宋_GB2312" w:eastAsia="仿宋_GB2312"/>
              </w:rPr>
              <w:t>生态评价与生态修复措施方案工作进行描述，分析与调查步骤及方法科学可行，思路清晰，方案中应包含但不限于承担过的类似项目执行情况描述，视其响应程度方案完整详细、有针对性、可操作性强得10-15分；方案较详细、针对性较低、可操作性较低得5-10分（不含10分）；方案一般、针对性低、可操作性低得0-5分（不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对项目实施组织计划和编制进度安排、评价报告审批进行详细说明</w:t>
            </w:r>
          </w:p>
        </w:tc>
        <w:tc>
          <w:tcPr>
            <w:tcW w:type="dxa" w:w="2492"/>
          </w:tcPr>
          <w:p>
            <w:pPr>
              <w:pStyle w:val="null3"/>
            </w:pPr>
            <w:r>
              <w:rPr>
                <w:rFonts w:ascii="仿宋_GB2312" w:hAnsi="仿宋_GB2312" w:cs="仿宋_GB2312" w:eastAsia="仿宋_GB2312"/>
              </w:rPr>
              <w:t>对项目实施组织计划和编制进度安排、评价报告审批进行详细说明，措施目的明确、方法合理可行、措施具体、针对性强、可操作性强，根据响应情况按其响应程度，方案完整详细、有针对性、可操作性强得10-15分；方案较详细、针对性较低、可操作性较低得5-10分（不含10分）；方案一般、针对性低、可操作性低得0-5分（不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投标人对本项目的质量控制及保证措施全面、科学、合理，视其响应程度措施完整、内容详细得5-10分；措施基本完整、内容一般得0-5分（不含5分）。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项目人员组织安排</w:t>
            </w:r>
          </w:p>
        </w:tc>
        <w:tc>
          <w:tcPr>
            <w:tcW w:type="dxa" w:w="2492"/>
          </w:tcPr>
          <w:p>
            <w:pPr>
              <w:pStyle w:val="null3"/>
            </w:pPr>
            <w:r>
              <w:rPr>
                <w:rFonts w:ascii="仿宋_GB2312" w:hAnsi="仿宋_GB2312" w:cs="仿宋_GB2312" w:eastAsia="仿宋_GB2312"/>
              </w:rPr>
              <w:t>根据项目人员组织安排合理、项目组织架构完善、项目主要人员清单及人员资质证明材料齐全等进行比较，视其响应程度完整详细得5-10分；一般详细得0-5分（不含5分）。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后期保障措施：供应商根据项目周期、计划、后续服务的周到性等，针对本项目有详尽的服务组织实施方案，服务机构健全，服务方案完整，服务人员配备等各项服务承诺情况视其响应程度完整详细得5-10分；一般详细得0-5分（不含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提供2022年4月1日至今的类似项目业绩，提供1份得5分，满分15分。以中标通知书或合同的复印件或扫描件加盖公章为准。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评标基准价=通过初步评审的有效投标人最终报价的算术平均值，投标报价等于评标基准价得满分（10分）；每高于评标 基准价 1%扣0.2分，每低于评标基准价 1%扣 0.1分。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