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C0D046">
      <w:pPr>
        <w:spacing w:before="98" w:line="225" w:lineRule="auto"/>
        <w:jc w:val="center"/>
        <w:rPr>
          <w:rFonts w:hint="eastAsia" w:ascii="宋体" w:hAnsi="宋体" w:eastAsia="宋体" w:cs="宋体"/>
          <w:b/>
          <w:bCs/>
          <w:color w:val="auto"/>
          <w:spacing w:val="7"/>
          <w:position w:val="1"/>
          <w:sz w:val="30"/>
          <w:szCs w:val="30"/>
          <w:highlight w:val="none"/>
          <w:lang w:eastAsia="zh-CN"/>
        </w:rPr>
      </w:pPr>
      <w:r>
        <w:rPr>
          <w:rFonts w:hint="eastAsia" w:ascii="宋体" w:hAnsi="宋体" w:eastAsia="宋体" w:cs="宋体"/>
          <w:b/>
          <w:bCs/>
          <w:color w:val="auto"/>
          <w:spacing w:val="7"/>
          <w:position w:val="1"/>
          <w:sz w:val="30"/>
          <w:szCs w:val="30"/>
          <w:highlight w:val="none"/>
          <w:lang w:eastAsia="zh-CN"/>
        </w:rPr>
        <w:br w:type="textWrapping"/>
      </w:r>
      <w:r>
        <w:rPr>
          <w:rFonts w:hint="eastAsia" w:ascii="宋体" w:hAnsi="宋体" w:eastAsia="宋体" w:cs="宋体"/>
          <w:b/>
          <w:bCs/>
          <w:color w:val="auto"/>
          <w:spacing w:val="7"/>
          <w:position w:val="1"/>
          <w:sz w:val="30"/>
          <w:szCs w:val="30"/>
          <w:highlight w:val="none"/>
          <w:lang w:eastAsia="zh-CN"/>
        </w:rPr>
        <w:t>周至县残联2025年残疾人助听器适配服务项目</w:t>
      </w:r>
    </w:p>
    <w:p w14:paraId="6325EFBD">
      <w:pPr>
        <w:spacing w:before="98" w:line="225" w:lineRule="auto"/>
        <w:jc w:val="center"/>
        <w:rPr>
          <w:rFonts w:ascii="宋体" w:hAnsi="宋体" w:eastAsia="宋体" w:cs="宋体"/>
          <w:color w:val="auto"/>
          <w:sz w:val="30"/>
          <w:szCs w:val="30"/>
          <w:highlight w:val="none"/>
        </w:rPr>
      </w:pPr>
      <w:r>
        <w:rPr>
          <w:rFonts w:ascii="宋体" w:hAnsi="宋体" w:eastAsia="宋体" w:cs="宋体"/>
          <w:b/>
          <w:bCs/>
          <w:color w:val="auto"/>
          <w:spacing w:val="7"/>
          <w:position w:val="-2"/>
          <w:sz w:val="30"/>
          <w:szCs w:val="30"/>
          <w:highlight w:val="none"/>
        </w:rPr>
        <w:t>协议书</w:t>
      </w:r>
    </w:p>
    <w:p w14:paraId="57D320E0">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color w:val="auto"/>
          <w:highlight w:val="none"/>
        </w:rPr>
      </w:pPr>
    </w:p>
    <w:p w14:paraId="504B4FD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协议编号：</w:t>
      </w:r>
    </w:p>
    <w:p w14:paraId="43CBB7C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52" w:firstLineChars="200"/>
        <w:jc w:val="left"/>
        <w:textAlignment w:val="center"/>
        <w:rPr>
          <w:rFonts w:hint="eastAsia" w:ascii="宋体" w:hAnsi="宋体" w:eastAsia="宋体" w:cs="宋体"/>
          <w:i w:val="0"/>
          <w:iCs w:val="0"/>
          <w:color w:val="auto"/>
          <w:sz w:val="24"/>
          <w:szCs w:val="24"/>
          <w:highlight w:val="none"/>
          <w:lang w:val="en-US" w:eastAsia="zh-CN"/>
        </w:rPr>
      </w:pPr>
      <w:r>
        <w:rPr>
          <w:rFonts w:hint="eastAsia" w:ascii="宋体" w:hAnsi="宋体" w:eastAsia="宋体" w:cs="宋体"/>
          <w:i w:val="0"/>
          <w:iCs w:val="0"/>
          <w:color w:val="auto"/>
          <w:spacing w:val="18"/>
          <w:sz w:val="24"/>
          <w:szCs w:val="24"/>
          <w:highlight w:val="none"/>
        </w:rPr>
        <w:t>甲方：</w:t>
      </w:r>
      <w:r>
        <w:rPr>
          <w:rFonts w:hint="eastAsia" w:ascii="宋体" w:hAnsi="宋体" w:eastAsia="宋体" w:cs="宋体"/>
          <w:i w:val="0"/>
          <w:iCs w:val="0"/>
          <w:color w:val="auto"/>
          <w:spacing w:val="18"/>
          <w:sz w:val="24"/>
          <w:szCs w:val="24"/>
          <w:highlight w:val="none"/>
          <w:lang w:val="en-US" w:eastAsia="zh-CN"/>
        </w:rPr>
        <w:t xml:space="preserve"> </w:t>
      </w:r>
    </w:p>
    <w:p w14:paraId="3B507A6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254276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42E78C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联系地址：</w:t>
      </w:r>
    </w:p>
    <w:p w14:paraId="6F3EB67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邮编：</w:t>
      </w:r>
    </w:p>
    <w:p w14:paraId="69448C2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jc w:val="left"/>
        <w:textAlignment w:val="center"/>
        <w:rPr>
          <w:rFonts w:hint="eastAsia" w:ascii="宋体" w:hAnsi="宋体" w:eastAsia="宋体" w:cs="宋体"/>
          <w:i w:val="0"/>
          <w:iCs w:val="0"/>
          <w:color w:val="auto"/>
          <w:spacing w:val="8"/>
          <w:sz w:val="24"/>
          <w:szCs w:val="24"/>
          <w:highlight w:val="none"/>
        </w:rPr>
      </w:pPr>
      <w:r>
        <w:rPr>
          <w:rFonts w:hint="eastAsia" w:ascii="宋体" w:hAnsi="宋体" w:eastAsia="宋体" w:cs="宋体"/>
          <w:i w:val="0"/>
          <w:iCs w:val="0"/>
          <w:color w:val="auto"/>
          <w:spacing w:val="8"/>
          <w:sz w:val="24"/>
          <w:szCs w:val="24"/>
          <w:highlight w:val="none"/>
        </w:rPr>
        <w:t>电话：</w:t>
      </w:r>
    </w:p>
    <w:p w14:paraId="2140F1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7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2"/>
          <w:sz w:val="24"/>
          <w:szCs w:val="24"/>
          <w:highlight w:val="none"/>
        </w:rPr>
        <w:t>乙方：</w:t>
      </w:r>
    </w:p>
    <w:p w14:paraId="1FF98F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left"/>
        <w:textAlignment w:val="center"/>
        <w:rPr>
          <w:rFonts w:hint="eastAsia" w:ascii="宋体" w:hAnsi="宋体" w:eastAsia="宋体" w:cs="宋体"/>
          <w:i w:val="0"/>
          <w:iCs w:val="0"/>
          <w:color w:val="auto"/>
          <w:spacing w:val="2"/>
          <w:sz w:val="24"/>
          <w:szCs w:val="24"/>
          <w:highlight w:val="none"/>
        </w:rPr>
      </w:pPr>
      <w:r>
        <w:rPr>
          <w:rFonts w:hint="eastAsia" w:ascii="宋体" w:hAnsi="宋体" w:eastAsia="宋体" w:cs="宋体"/>
          <w:i w:val="0"/>
          <w:iCs w:val="0"/>
          <w:color w:val="auto"/>
          <w:spacing w:val="12"/>
          <w:sz w:val="24"/>
          <w:szCs w:val="24"/>
          <w:highlight w:val="none"/>
        </w:rPr>
        <w:t>法定代表人：</w:t>
      </w:r>
      <w:r>
        <w:rPr>
          <w:rFonts w:hint="eastAsia" w:ascii="宋体" w:hAnsi="宋体" w:eastAsia="宋体" w:cs="宋体"/>
          <w:i w:val="0"/>
          <w:iCs w:val="0"/>
          <w:color w:val="auto"/>
          <w:spacing w:val="2"/>
          <w:sz w:val="24"/>
          <w:szCs w:val="24"/>
          <w:highlight w:val="none"/>
        </w:rPr>
        <w:t xml:space="preserve"> </w:t>
      </w:r>
    </w:p>
    <w:p w14:paraId="3ED8D6E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2"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8"/>
          <w:sz w:val="24"/>
          <w:szCs w:val="24"/>
          <w:highlight w:val="none"/>
        </w:rPr>
        <w:t>联系人：</w:t>
      </w:r>
    </w:p>
    <w:p w14:paraId="247C4AF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16"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9"/>
          <w:sz w:val="24"/>
          <w:szCs w:val="24"/>
          <w:highlight w:val="none"/>
        </w:rPr>
        <w:t>联系地址：</w:t>
      </w:r>
      <w:r>
        <w:rPr>
          <w:rFonts w:hint="eastAsia" w:ascii="宋体" w:hAnsi="宋体" w:eastAsia="宋体" w:cs="宋体"/>
          <w:i w:val="0"/>
          <w:iCs w:val="0"/>
          <w:color w:val="auto"/>
          <w:sz w:val="24"/>
          <w:szCs w:val="24"/>
          <w:highlight w:val="none"/>
        </w:rPr>
        <w:t xml:space="preserve"> </w:t>
      </w:r>
    </w:p>
    <w:p w14:paraId="09D355C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pacing w:val="1"/>
          <w:sz w:val="24"/>
          <w:szCs w:val="24"/>
          <w:highlight w:val="none"/>
        </w:rPr>
        <w:t>邮编：</w:t>
      </w:r>
    </w:p>
    <w:p w14:paraId="77E5A47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84" w:firstLineChars="200"/>
        <w:jc w:val="left"/>
        <w:textAlignment w:val="center"/>
        <w:rPr>
          <w:color w:val="auto"/>
          <w:sz w:val="24"/>
          <w:szCs w:val="24"/>
          <w:highlight w:val="none"/>
        </w:rPr>
      </w:pPr>
      <w:r>
        <w:rPr>
          <w:rFonts w:hint="eastAsia" w:ascii="宋体" w:hAnsi="宋体" w:eastAsia="宋体" w:cs="宋体"/>
          <w:i w:val="0"/>
          <w:iCs w:val="0"/>
          <w:color w:val="auto"/>
          <w:spacing w:val="1"/>
          <w:sz w:val="24"/>
          <w:szCs w:val="24"/>
          <w:highlight w:val="none"/>
        </w:rPr>
        <w:t>电话：</w:t>
      </w:r>
    </w:p>
    <w:p w14:paraId="663DA9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7"/>
          <w:sz w:val="24"/>
          <w:szCs w:val="24"/>
          <w:highlight w:val="none"/>
        </w:rPr>
        <w:t>甲方购买</w:t>
      </w:r>
      <w:r>
        <w:rPr>
          <w:rFonts w:hint="eastAsia" w:ascii="宋体" w:hAnsi="宋体" w:eastAsia="宋体" w:cs="宋体"/>
          <w:color w:val="auto"/>
          <w:spacing w:val="-86"/>
          <w:sz w:val="24"/>
          <w:szCs w:val="24"/>
          <w:highlight w:val="none"/>
        </w:rPr>
        <w:t xml:space="preserve"> </w:t>
      </w:r>
      <w:r>
        <w:rPr>
          <w:rFonts w:hint="eastAsia" w:ascii="宋体" w:hAnsi="宋体" w:eastAsia="宋体" w:cs="宋体"/>
          <w:color w:val="auto"/>
          <w:spacing w:val="4"/>
          <w:sz w:val="24"/>
          <w:szCs w:val="24"/>
          <w:highlight w:val="none"/>
          <w:u w:val="single" w:color="auto"/>
        </w:rPr>
        <w:t xml:space="preserve">                </w:t>
      </w:r>
      <w:r>
        <w:rPr>
          <w:rFonts w:hint="eastAsia" w:ascii="宋体" w:hAnsi="宋体" w:eastAsia="宋体" w:cs="宋体"/>
          <w:color w:val="auto"/>
          <w:spacing w:val="-67"/>
          <w:sz w:val="24"/>
          <w:szCs w:val="24"/>
          <w:highlight w:val="none"/>
        </w:rPr>
        <w:t xml:space="preserve"> </w:t>
      </w:r>
      <w:r>
        <w:rPr>
          <w:rFonts w:hint="eastAsia" w:ascii="宋体" w:hAnsi="宋体" w:eastAsia="宋体" w:cs="宋体"/>
          <w:color w:val="auto"/>
          <w:spacing w:val="7"/>
          <w:sz w:val="24"/>
          <w:szCs w:val="24"/>
          <w:highlight w:val="none"/>
          <w:lang w:val="en-US" w:eastAsia="zh-CN"/>
        </w:rPr>
        <w:t>服务</w:t>
      </w:r>
      <w:r>
        <w:rPr>
          <w:rFonts w:hint="eastAsia" w:ascii="宋体" w:hAnsi="宋体" w:eastAsia="宋体" w:cs="宋体"/>
          <w:color w:val="auto"/>
          <w:spacing w:val="7"/>
          <w:sz w:val="24"/>
          <w:szCs w:val="24"/>
          <w:highlight w:val="none"/>
        </w:rPr>
        <w:t>，甲方按照</w:t>
      </w:r>
      <w:r>
        <w:rPr>
          <w:rFonts w:hint="eastAsia" w:ascii="宋体" w:hAnsi="宋体" w:eastAsia="宋体" w:cs="宋体"/>
          <w:color w:val="auto"/>
          <w:spacing w:val="-90"/>
          <w:sz w:val="24"/>
          <w:szCs w:val="24"/>
          <w:highlight w:val="none"/>
        </w:rPr>
        <w:t xml:space="preserve"> </w:t>
      </w:r>
      <w:r>
        <w:rPr>
          <w:rFonts w:hint="eastAsia" w:ascii="宋体" w:hAnsi="宋体" w:eastAsia="宋体" w:cs="宋体"/>
          <w:color w:val="auto"/>
          <w:spacing w:val="2"/>
          <w:sz w:val="24"/>
          <w:szCs w:val="24"/>
          <w:highlight w:val="none"/>
          <w:u w:val="single" w:color="auto"/>
        </w:rPr>
        <w:t xml:space="preserve"> </w:t>
      </w:r>
      <w:r>
        <w:rPr>
          <w:rFonts w:hint="eastAsia" w:ascii="宋体" w:hAnsi="宋体" w:eastAsia="宋体" w:cs="宋体"/>
          <w:color w:val="auto"/>
          <w:spacing w:val="2"/>
          <w:sz w:val="24"/>
          <w:szCs w:val="24"/>
          <w:highlight w:val="none"/>
          <w:u w:val="single" w:color="auto"/>
          <w:lang w:eastAsia="zh-CN"/>
        </w:rPr>
        <w:t>竞争性磋商</w:t>
      </w:r>
      <w:r>
        <w:rPr>
          <w:rFonts w:hint="eastAsia" w:ascii="宋体" w:hAnsi="宋体" w:eastAsia="宋体" w:cs="宋体"/>
          <w:color w:val="auto"/>
          <w:spacing w:val="7"/>
          <w:sz w:val="24"/>
          <w:szCs w:val="24"/>
          <w:highlight w:val="none"/>
        </w:rPr>
        <w:t>方式</w:t>
      </w:r>
      <w:r>
        <w:rPr>
          <w:rFonts w:hint="eastAsia" w:ascii="宋体" w:hAnsi="宋体" w:eastAsia="宋体" w:cs="宋体"/>
          <w:color w:val="auto"/>
          <w:spacing w:val="25"/>
          <w:sz w:val="24"/>
          <w:szCs w:val="24"/>
          <w:highlight w:val="none"/>
        </w:rPr>
        <w:t>经评标委员会综</w:t>
      </w:r>
      <w:r>
        <w:rPr>
          <w:rFonts w:hint="eastAsia" w:ascii="宋体" w:hAnsi="宋体" w:eastAsia="宋体" w:cs="宋体"/>
          <w:color w:val="auto"/>
          <w:spacing w:val="16"/>
          <w:sz w:val="24"/>
          <w:szCs w:val="24"/>
          <w:highlight w:val="none"/>
        </w:rPr>
        <w:t>合评定</w:t>
      </w:r>
      <w:r>
        <w:rPr>
          <w:rFonts w:hint="eastAsia" w:ascii="宋体" w:hAnsi="宋体" w:eastAsia="宋体" w:cs="宋体"/>
          <w:color w:val="auto"/>
          <w:spacing w:val="-23"/>
          <w:sz w:val="24"/>
          <w:szCs w:val="24"/>
          <w:highlight w:val="none"/>
        </w:rPr>
        <w:t xml:space="preserve"> </w:t>
      </w:r>
      <w:r>
        <w:rPr>
          <w:rFonts w:hint="eastAsia" w:ascii="宋体" w:hAnsi="宋体" w:eastAsia="宋体" w:cs="宋体"/>
          <w:color w:val="auto"/>
          <w:spacing w:val="16"/>
          <w:sz w:val="24"/>
          <w:szCs w:val="24"/>
          <w:highlight w:val="none"/>
        </w:rPr>
        <w:t>，</w:t>
      </w:r>
      <w:r>
        <w:rPr>
          <w:rFonts w:hint="eastAsia" w:ascii="宋体" w:hAnsi="宋体" w:eastAsia="宋体" w:cs="宋体"/>
          <w:color w:val="auto"/>
          <w:spacing w:val="16"/>
          <w:sz w:val="24"/>
          <w:szCs w:val="24"/>
          <w:highlight w:val="none"/>
          <w:u w:val="single" w:color="auto"/>
        </w:rPr>
        <w:t xml:space="preserve">            </w:t>
      </w:r>
      <w:r>
        <w:rPr>
          <w:rFonts w:hint="eastAsia" w:ascii="宋体" w:hAnsi="宋体" w:eastAsia="宋体" w:cs="宋体"/>
          <w:color w:val="auto"/>
          <w:spacing w:val="16"/>
          <w:sz w:val="24"/>
          <w:szCs w:val="24"/>
          <w:highlight w:val="none"/>
        </w:rPr>
        <w:t>为中标人，承接此项目。</w:t>
      </w:r>
      <w:r>
        <w:rPr>
          <w:rFonts w:hint="eastAsia" w:ascii="宋体" w:hAnsi="宋体" w:eastAsia="宋体" w:cs="宋体"/>
          <w:color w:val="auto"/>
          <w:spacing w:val="15"/>
          <w:sz w:val="24"/>
          <w:szCs w:val="24"/>
          <w:highlight w:val="none"/>
        </w:rPr>
        <w:t>为保证项目实施，现甲乙双方共同协</w:t>
      </w:r>
      <w:r>
        <w:rPr>
          <w:rFonts w:hint="eastAsia" w:ascii="宋体" w:hAnsi="宋体" w:eastAsia="宋体" w:cs="宋体"/>
          <w:color w:val="auto"/>
          <w:spacing w:val="18"/>
          <w:sz w:val="24"/>
          <w:szCs w:val="24"/>
          <w:highlight w:val="none"/>
        </w:rPr>
        <w:t>商订立本协议，双方应严格遵守并履行协议约定：</w:t>
      </w:r>
    </w:p>
    <w:p w14:paraId="36082EB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10"/>
          <w:sz w:val="24"/>
          <w:szCs w:val="24"/>
          <w:highlight w:val="none"/>
        </w:rPr>
        <w:t>1.</w:t>
      </w:r>
      <w:r>
        <w:rPr>
          <w:rFonts w:hint="eastAsia" w:ascii="宋体" w:hAnsi="宋体" w:eastAsia="宋体" w:cs="宋体"/>
          <w:color w:val="auto"/>
          <w:spacing w:val="-39"/>
          <w:sz w:val="24"/>
          <w:szCs w:val="24"/>
          <w:highlight w:val="none"/>
        </w:rPr>
        <w:t xml:space="preserve"> </w:t>
      </w:r>
      <w:r>
        <w:rPr>
          <w:rFonts w:hint="eastAsia" w:ascii="宋体" w:hAnsi="宋体" w:eastAsia="宋体" w:cs="宋体"/>
          <w:color w:val="auto"/>
          <w:spacing w:val="-10"/>
          <w:sz w:val="24"/>
          <w:szCs w:val="24"/>
          <w:highlight w:val="none"/>
        </w:rPr>
        <w:t>协议文件组成</w:t>
      </w:r>
    </w:p>
    <w:p w14:paraId="5EA2AF2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584"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pacing w:val="26"/>
          <w:sz w:val="24"/>
          <w:szCs w:val="24"/>
          <w:highlight w:val="none"/>
          <w:lang w:val="en-US" w:eastAsia="zh-CN"/>
        </w:rPr>
        <w:t>下</w:t>
      </w:r>
      <w:r>
        <w:rPr>
          <w:rFonts w:hint="eastAsia" w:ascii="宋体" w:hAnsi="宋体" w:eastAsia="宋体" w:cs="宋体"/>
          <w:color w:val="auto"/>
          <w:spacing w:val="26"/>
          <w:sz w:val="24"/>
          <w:szCs w:val="24"/>
          <w:highlight w:val="none"/>
        </w:rPr>
        <w:t>列文件均为本协议不可分割的组成部分，互为补充和解释，</w:t>
      </w:r>
      <w:r>
        <w:rPr>
          <w:rFonts w:hint="eastAsia" w:ascii="宋体" w:hAnsi="宋体" w:eastAsia="宋体" w:cs="宋体"/>
          <w:color w:val="auto"/>
          <w:spacing w:val="25"/>
          <w:sz w:val="24"/>
          <w:szCs w:val="24"/>
          <w:highlight w:val="none"/>
        </w:rPr>
        <w:t>如有不清或相互矛</w:t>
      </w:r>
      <w:r>
        <w:rPr>
          <w:rFonts w:hint="eastAsia" w:ascii="宋体" w:hAnsi="宋体" w:eastAsia="宋体" w:cs="宋体"/>
          <w:color w:val="auto"/>
          <w:spacing w:val="19"/>
          <w:sz w:val="24"/>
          <w:szCs w:val="24"/>
          <w:highlight w:val="none"/>
        </w:rPr>
        <w:t>盾之处，以所列顺序在前的为准，但甲乙双方有特别约定的除外：</w:t>
      </w:r>
    </w:p>
    <w:p w14:paraId="7AE8BB3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1.1 项目采购文件和中标通知书</w:t>
      </w:r>
    </w:p>
    <w:p w14:paraId="1F00B8A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1.2 本协议书</w:t>
      </w:r>
    </w:p>
    <w:p w14:paraId="4B7A26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1.3  政府购买残疾人服务项目任务书(服务项目任务书格式由招标方根据服务项目及相关标准和规范自行制定，并明确协议双方各自的权利和义务，以及考核、验收 等事项，作为合同附件。)</w:t>
      </w:r>
    </w:p>
    <w:p w14:paraId="2C53A9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 项目主要要求</w:t>
      </w:r>
    </w:p>
    <w:p w14:paraId="6D7918B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color w:val="auto"/>
          <w:spacing w:val="-10"/>
          <w:sz w:val="24"/>
          <w:szCs w:val="24"/>
          <w:highlight w:val="none"/>
        </w:rPr>
      </w:pPr>
      <w:r>
        <w:rPr>
          <w:rFonts w:hint="eastAsia" w:ascii="宋体" w:hAnsi="宋体" w:eastAsia="宋体" w:cs="宋体"/>
          <w:color w:val="auto"/>
          <w:spacing w:val="-10"/>
          <w:sz w:val="24"/>
          <w:szCs w:val="24"/>
          <w:highlight w:val="none"/>
        </w:rPr>
        <w:t>2.1  本协议书中项目主要要求包括：</w:t>
      </w:r>
    </w:p>
    <w:p w14:paraId="65F3FC69">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2.1.1、服务内容：参照《陕西省辅助器具服务机构准入标准与技术规范的通知》（陕残联发〔2021〕22号）及《周至县残联2025年残疾人助听器适配服务项目实施方案》。</w:t>
      </w:r>
    </w:p>
    <w:p w14:paraId="2BF65A3C">
      <w:pPr>
        <w:pStyle w:val="2"/>
        <w:ind w:firstLine="480" w:firstLineChars="200"/>
        <w:rPr>
          <w:rFonts w:hint="eastAsia" w:ascii="宋体" w:hAnsi="宋体" w:eastAsia="宋体" w:cs="宋体"/>
          <w:b w:val="0"/>
          <w:bCs w:val="0"/>
          <w:snapToGrid w:val="0"/>
          <w:color w:val="auto"/>
          <w:kern w:val="0"/>
          <w:sz w:val="24"/>
          <w:szCs w:val="24"/>
          <w:highlight w:val="none"/>
          <w:lang w:val="en-US" w:eastAsia="zh-CN"/>
        </w:rPr>
      </w:pPr>
      <w:r>
        <w:rPr>
          <w:rFonts w:hint="eastAsia" w:ascii="宋体" w:hAnsi="宋体" w:eastAsia="宋体" w:cs="宋体"/>
          <w:b w:val="0"/>
          <w:bCs w:val="0"/>
          <w:snapToGrid w:val="0"/>
          <w:color w:val="auto"/>
          <w:kern w:val="0"/>
          <w:sz w:val="24"/>
          <w:szCs w:val="24"/>
          <w:highlight w:val="none"/>
          <w:lang w:val="en-US" w:eastAsia="zh-CN"/>
        </w:rPr>
        <w:t>2.2服务内容及流程：建档，听力检测，选品，首次耳模制作（应做尽做，遇禁忌症电耳镜拍照留存），现场（或上门）适配，助听效果评估，产品使用维护指导，填写项目汇总表，回访，后续调机等服务。过程性记录随时填写到纸质档案并根据要求及时上传平台。</w:t>
      </w:r>
    </w:p>
    <w:p w14:paraId="264DBED0">
      <w:pPr>
        <w:keepNext w:val="0"/>
        <w:keepLines w:val="0"/>
        <w:pageBreakBefore w:val="0"/>
        <w:widowControl/>
        <w:kinsoku w:val="0"/>
        <w:wordWrap/>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val="0"/>
          <w:bCs w:val="0"/>
          <w:color w:val="auto"/>
          <w:spacing w:val="11"/>
          <w:sz w:val="24"/>
          <w:szCs w:val="24"/>
          <w:highlight w:val="none"/>
          <w:lang w:val="en-US" w:eastAsia="zh-CN"/>
        </w:rPr>
        <w:t>2.2、</w:t>
      </w:r>
      <w:r>
        <w:rPr>
          <w:rFonts w:hint="eastAsia" w:ascii="宋体" w:hAnsi="宋体" w:eastAsia="宋体" w:cs="宋体"/>
          <w:color w:val="auto"/>
          <w:sz w:val="24"/>
          <w:szCs w:val="24"/>
          <w:highlight w:val="none"/>
          <w:lang w:val="en-US" w:eastAsia="zh-CN"/>
        </w:rPr>
        <w:t>服务对象：</w:t>
      </w:r>
    </w:p>
    <w:p w14:paraId="61D9A9A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依托陕西省辅助器具适配综合服务平台，为全市有就业、从业需求，且有辅具需求的残疾人适配辅助器具</w:t>
      </w:r>
    </w:p>
    <w:p w14:paraId="61461230">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周至县残联2025年残疾人助听器适配服务机构，须接受采购人的业务管理，考评监督，并由采购人依据国家确定费用标准及考核办法进行考核。</w:t>
      </w:r>
    </w:p>
    <w:p w14:paraId="100A320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color w:val="auto"/>
          <w:spacing w:val="-10"/>
          <w:sz w:val="24"/>
          <w:szCs w:val="24"/>
          <w:highlight w:val="none"/>
          <w:u w:val="single"/>
          <w:lang w:val="en-US" w:eastAsia="zh-CN"/>
        </w:rPr>
      </w:pPr>
      <w:r>
        <w:rPr>
          <w:rFonts w:hint="eastAsia" w:ascii="宋体" w:hAnsi="宋体" w:eastAsia="宋体" w:cs="宋体"/>
          <w:color w:val="auto"/>
          <w:spacing w:val="-10"/>
          <w:sz w:val="24"/>
          <w:szCs w:val="24"/>
          <w:highlight w:val="none"/>
          <w:lang w:val="en-US" w:eastAsia="zh-CN"/>
        </w:rPr>
        <w:t>2.4</w:t>
      </w:r>
      <w:r>
        <w:rPr>
          <w:rFonts w:hint="eastAsia" w:ascii="宋体" w:hAnsi="宋体" w:eastAsia="宋体" w:cs="宋体"/>
          <w:color w:val="auto"/>
          <w:spacing w:val="-10"/>
          <w:sz w:val="24"/>
          <w:szCs w:val="24"/>
          <w:highlight w:val="none"/>
        </w:rPr>
        <w:t>技术要求</w:t>
      </w:r>
      <w:r>
        <w:rPr>
          <w:rFonts w:hint="eastAsia" w:ascii="宋体" w:hAnsi="宋体" w:eastAsia="宋体" w:cs="宋体"/>
          <w:color w:val="auto"/>
          <w:spacing w:val="-10"/>
          <w:sz w:val="24"/>
          <w:szCs w:val="24"/>
          <w:highlight w:val="none"/>
          <w:lang w:eastAsia="zh-CN"/>
        </w:rPr>
        <w:t>：</w:t>
      </w:r>
      <w:r>
        <w:rPr>
          <w:rFonts w:hint="eastAsia" w:ascii="宋体" w:hAnsi="宋体" w:eastAsia="宋体" w:cs="宋体"/>
          <w:color w:val="auto"/>
          <w:spacing w:val="-10"/>
          <w:sz w:val="24"/>
          <w:szCs w:val="24"/>
          <w:highlight w:val="none"/>
          <w:u w:val="single"/>
          <w:lang w:val="en-US" w:eastAsia="zh-CN"/>
        </w:rPr>
        <w:t xml:space="preserve">                                                    </w:t>
      </w:r>
    </w:p>
    <w:p w14:paraId="7920066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color w:val="auto"/>
          <w:spacing w:val="-10"/>
          <w:sz w:val="24"/>
          <w:szCs w:val="24"/>
          <w:highlight w:val="none"/>
          <w:lang w:val="en-US" w:eastAsia="zh-CN"/>
        </w:rPr>
      </w:pPr>
      <w:r>
        <w:rPr>
          <w:rFonts w:hint="eastAsia" w:ascii="宋体" w:hAnsi="宋体" w:eastAsia="宋体" w:cs="宋体"/>
          <w:color w:val="auto"/>
          <w:spacing w:val="-10"/>
          <w:sz w:val="24"/>
          <w:szCs w:val="24"/>
          <w:highlight w:val="none"/>
          <w:lang w:val="en-US" w:eastAsia="zh-CN"/>
        </w:rPr>
        <w:t>2.5商务</w:t>
      </w:r>
      <w:r>
        <w:rPr>
          <w:rFonts w:hint="eastAsia" w:ascii="宋体" w:hAnsi="宋体" w:eastAsia="宋体" w:cs="宋体"/>
          <w:color w:val="auto"/>
          <w:spacing w:val="-10"/>
          <w:sz w:val="24"/>
          <w:szCs w:val="24"/>
          <w:highlight w:val="none"/>
          <w:lang w:val="en-US" w:eastAsia="en-US"/>
        </w:rPr>
        <w:t xml:space="preserve">要求 </w:t>
      </w:r>
      <w:r>
        <w:rPr>
          <w:rFonts w:hint="eastAsia" w:ascii="宋体" w:hAnsi="宋体" w:eastAsia="宋体" w:cs="宋体"/>
          <w:color w:val="auto"/>
          <w:spacing w:val="-10"/>
          <w:sz w:val="24"/>
          <w:szCs w:val="24"/>
          <w:highlight w:val="none"/>
          <w:lang w:val="en-US" w:eastAsia="zh-CN"/>
        </w:rPr>
        <w:t>：</w:t>
      </w:r>
    </w:p>
    <w:p w14:paraId="48985C2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2.5.1、服务期限：自合同签订之日起至2025年12月31日。</w:t>
      </w:r>
    </w:p>
    <w:p w14:paraId="5CA98B83">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2.5.2、本标段</w:t>
      </w:r>
      <w:r>
        <w:rPr>
          <w:rFonts w:hint="eastAsia" w:ascii="宋体" w:hAnsi="宋体" w:eastAsia="宋体" w:cs="宋体"/>
          <w:b w:val="0"/>
          <w:bCs w:val="0"/>
          <w:snapToGrid w:val="0"/>
          <w:color w:val="auto"/>
          <w:kern w:val="0"/>
          <w:sz w:val="24"/>
          <w:szCs w:val="24"/>
          <w:highlight w:val="none"/>
          <w:lang w:val="en-US" w:eastAsia="zh-CN"/>
        </w:rPr>
        <w:t>验配服务数量</w:t>
      </w:r>
      <w:r>
        <w:rPr>
          <w:rFonts w:hint="eastAsia" w:ascii="宋体" w:hAnsi="宋体" w:eastAsia="宋体" w:cs="宋体"/>
          <w:color w:val="auto"/>
          <w:sz w:val="24"/>
          <w:szCs w:val="24"/>
          <w:highlight w:val="none"/>
          <w:u w:val="single"/>
          <w:lang w:val="en-US" w:eastAsia="zh-CN"/>
        </w:rPr>
        <w:t xml:space="preserve">   台</w:t>
      </w:r>
      <w:r>
        <w:rPr>
          <w:rFonts w:hint="eastAsia" w:ascii="宋体" w:hAnsi="宋体" w:eastAsia="宋体" w:cs="宋体"/>
          <w:color w:val="auto"/>
          <w:sz w:val="24"/>
          <w:szCs w:val="24"/>
          <w:highlight w:val="none"/>
          <w:lang w:val="en-US" w:eastAsia="zh-CN"/>
        </w:rPr>
        <w:t>。服务地点函盖镇街：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p>
    <w:p w14:paraId="152E54B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2.5.3、验收标准：由采购人对项目进行整体验收，供应商协助配合。</w:t>
      </w:r>
    </w:p>
    <w:p w14:paraId="4025754A">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 项目服务单价</w:t>
      </w:r>
    </w:p>
    <w:p w14:paraId="3A18EE1B">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本协议书中的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项目服务合同价为</w:t>
      </w:r>
      <w:r>
        <w:rPr>
          <w:rFonts w:hint="eastAsia" w:ascii="宋体" w:hAnsi="宋体" w:eastAsia="宋体" w:cs="宋体"/>
          <w:color w:val="auto"/>
          <w:sz w:val="24"/>
          <w:szCs w:val="24"/>
          <w:highlight w:val="none"/>
          <w:u w:val="single"/>
          <w:lang w:val="en-US" w:eastAsia="zh-CN"/>
        </w:rPr>
        <w:t xml:space="preserve">     元</w:t>
      </w:r>
      <w:r>
        <w:rPr>
          <w:rFonts w:hint="eastAsia" w:ascii="宋体" w:hAnsi="宋体" w:eastAsia="宋体" w:cs="宋体"/>
          <w:color w:val="auto"/>
          <w:sz w:val="24"/>
          <w:szCs w:val="24"/>
          <w:highlight w:val="none"/>
          <w:lang w:val="en-US" w:eastAsia="zh-CN"/>
        </w:rPr>
        <w:t>，大写金额为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整。</w:t>
      </w:r>
    </w:p>
    <w:p w14:paraId="0785A5D2">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 协议术语定义</w:t>
      </w:r>
    </w:p>
    <w:p w14:paraId="00A88AE9">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480" w:firstLineChars="20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除非另有特别的解释或说明，在本协议中及与协议相关的，甲乙双方另行签署的其他文件(包括但不限于本协议的附件)中，下述词语均按照如下定义进行解释：</w:t>
      </w:r>
    </w:p>
    <w:p w14:paraId="1F66A8B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4.1  “甲方”系指项目采购方；</w:t>
      </w:r>
    </w:p>
    <w:p w14:paraId="3CD725B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4.2  “乙方”系指为承接甲方服务项目的社会服务机构，即项目承接方；</w:t>
      </w:r>
    </w:p>
    <w:p w14:paraId="5A1633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4.3  “协议文件”系指甲乙双方签署的，协议中载明的甲乙双方达成的全部约定，包括协议的所有附件、附录和构成协议的所有文件；</w:t>
      </w:r>
    </w:p>
    <w:p w14:paraId="7CD53A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4.4  “服务”系指乙方根据协议文件规定须向甲方提供的全部助残服务；</w:t>
      </w:r>
    </w:p>
    <w:p w14:paraId="6C1205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4.5  “项目指标”是指包括服务人数、服务次数、受益人次等在内的所有可量化的项目服务类指标。</w:t>
      </w:r>
    </w:p>
    <w:p w14:paraId="1DCEF5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5. 项目实施期限：</w:t>
      </w:r>
      <w:r>
        <w:rPr>
          <w:rFonts w:hint="eastAsia" w:ascii="宋体" w:hAnsi="宋体" w:eastAsia="宋体" w:cs="宋体"/>
          <w:color w:val="auto"/>
          <w:sz w:val="24"/>
          <w:szCs w:val="24"/>
          <w:highlight w:val="none"/>
          <w:lang w:val="en-US" w:eastAsia="zh-CN"/>
        </w:rPr>
        <w:t>/</w:t>
      </w:r>
    </w:p>
    <w:p w14:paraId="29145DB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6. 项目服务期限及质保期限：服务期限：</w:t>
      </w:r>
      <w:r>
        <w:rPr>
          <w:rFonts w:hint="eastAsia" w:ascii="宋体" w:hAnsi="宋体" w:eastAsia="宋体" w:cs="宋体"/>
          <w:color w:val="auto"/>
          <w:sz w:val="24"/>
          <w:szCs w:val="24"/>
          <w:highlight w:val="none"/>
          <w:lang w:val="en-US" w:eastAsia="zh-CN"/>
        </w:rPr>
        <w:t xml:space="preserve">自合同签订之日起至2025年12月31日前完成。质量保修范围和保修期：自验收合格之日起质保3年 </w:t>
      </w:r>
    </w:p>
    <w:p w14:paraId="5B85BC7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 财务管理</w:t>
      </w:r>
    </w:p>
    <w:p w14:paraId="7FFF298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7.1  项目资金必须专款专用于所承接项目。乙方不得用于实施项目以外的任何内容；</w:t>
      </w:r>
    </w:p>
    <w:p w14:paraId="6D4972F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7.2  项目税费(如有)由乙方负担；</w:t>
      </w:r>
    </w:p>
    <w:p w14:paraId="7A501C84">
      <w:pPr>
        <w:keepNext w:val="0"/>
        <w:keepLines w:val="0"/>
        <w:pageBreakBefore w:val="0"/>
        <w:widowControl/>
        <w:kinsoku w:val="0"/>
        <w:wordWrap/>
        <w:overflowPunct/>
        <w:topLinePunct w:val="0"/>
        <w:autoSpaceDE w:val="0"/>
        <w:autoSpaceDN w:val="0"/>
        <w:bidi w:val="0"/>
        <w:adjustRightInd w:val="0"/>
        <w:snapToGrid w:val="0"/>
        <w:spacing w:line="360" w:lineRule="auto"/>
        <w:ind w:firstLine="440" w:firstLineChars="200"/>
        <w:textAlignment w:val="baseline"/>
        <w:rPr>
          <w:rFonts w:hint="eastAsia"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7.3 项目支付方式：1、合同签订后，根据服</w:t>
      </w:r>
      <w:bookmarkStart w:id="0" w:name="_GoBack"/>
      <w:bookmarkEnd w:id="0"/>
      <w:r>
        <w:rPr>
          <w:rFonts w:hint="eastAsia" w:ascii="宋体" w:hAnsi="宋体" w:eastAsia="宋体" w:cs="宋体"/>
          <w:snapToGrid w:val="0"/>
          <w:color w:val="auto"/>
          <w:spacing w:val="-10"/>
          <w:kern w:val="0"/>
          <w:sz w:val="24"/>
          <w:szCs w:val="24"/>
          <w:highlight w:val="none"/>
          <w:lang w:val="en-US" w:eastAsia="zh-CN" w:bidi="ar-SA"/>
        </w:rPr>
        <w:t xml:space="preserve">务进度进行支付，达到付款条件起10日内，支付合同总金额的50.00%。2、完成所有服务项目，并通过验收，达到付款条件起10日内，支付合同总金额的50.00%。 </w:t>
      </w:r>
    </w:p>
    <w:p w14:paraId="24AEE4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lang w:val="en-US" w:eastAsia="zh-CN"/>
        </w:rPr>
        <w:t>注：1、本项目具体结算金额根据实际服务数量乘以项目服务单价。</w:t>
      </w:r>
    </w:p>
    <w:p w14:paraId="776555D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w:t>
      </w:r>
      <w:r>
        <w:rPr>
          <w:rFonts w:hint="eastAsia" w:ascii="宋体" w:hAnsi="宋体" w:eastAsia="宋体" w:cs="宋体"/>
          <w:snapToGrid w:val="0"/>
          <w:color w:val="auto"/>
          <w:spacing w:val="-10"/>
          <w:kern w:val="0"/>
          <w:sz w:val="24"/>
          <w:szCs w:val="24"/>
          <w:highlight w:val="none"/>
          <w:lang w:val="en-US" w:eastAsia="zh-CN" w:bidi="ar-SA"/>
        </w:rPr>
        <w:t>1</w:t>
      </w:r>
      <w:r>
        <w:rPr>
          <w:rFonts w:hint="eastAsia" w:ascii="宋体" w:hAnsi="宋体" w:eastAsia="宋体" w:cs="宋体"/>
          <w:snapToGrid w:val="0"/>
          <w:color w:val="auto"/>
          <w:spacing w:val="-10"/>
          <w:kern w:val="0"/>
          <w:sz w:val="24"/>
          <w:szCs w:val="24"/>
          <w:highlight w:val="none"/>
          <w:lang w:val="en-US" w:eastAsia="en-US" w:bidi="ar-SA"/>
        </w:rPr>
        <w:t xml:space="preserve">)付款账户：乙方开户银行名称、户名和账号为： </w:t>
      </w:r>
    </w:p>
    <w:p w14:paraId="24E163D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账户名称：</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7A4682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开户银行：</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FC978D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u w:val="singl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开户账号：</w:t>
      </w:r>
      <w:r>
        <w:rPr>
          <w:rFonts w:hint="eastAsia" w:ascii="宋体" w:hAnsi="宋体" w:eastAsia="宋体" w:cs="宋体"/>
          <w:snapToGrid w:val="0"/>
          <w:color w:val="auto"/>
          <w:spacing w:val="-10"/>
          <w:kern w:val="0"/>
          <w:sz w:val="24"/>
          <w:szCs w:val="24"/>
          <w:highlight w:val="none"/>
          <w:u w:val="single"/>
          <w:lang w:val="en-US" w:eastAsia="en-US" w:bidi="ar-SA"/>
        </w:rPr>
        <w:t xml:space="preserve">                           </w:t>
      </w:r>
    </w:p>
    <w:p w14:paraId="0240C8E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.4  乙方申请项目经费前，应向甲方提交项目工作(月或季)报、项目财务月报或季度报表。</w:t>
      </w:r>
    </w:p>
    <w:p w14:paraId="30C64F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.5  乙方应在甲方支付项目款前</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个工作日内向甲方提供正规发票；</w:t>
      </w:r>
    </w:p>
    <w:p w14:paraId="2DBA8F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7</w:t>
      </w:r>
      <w:r>
        <w:rPr>
          <w:rFonts w:hint="eastAsia" w:ascii="宋体" w:hAnsi="宋体" w:eastAsia="宋体" w:cs="宋体"/>
          <w:snapToGrid w:val="0"/>
          <w:color w:val="auto"/>
          <w:spacing w:val="-10"/>
          <w:kern w:val="0"/>
          <w:sz w:val="24"/>
          <w:szCs w:val="24"/>
          <w:highlight w:val="none"/>
          <w:lang w:val="en-US" w:eastAsia="en-US" w:bidi="ar-SA"/>
        </w:rPr>
        <w:t>.6  甲方和乙方因本协议发生的一切费用均以人民币结算及支付。</w:t>
      </w:r>
    </w:p>
    <w:p w14:paraId="2E5A4D2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zh-CN" w:bidi="ar-SA"/>
        </w:rPr>
        <w:t>8</w:t>
      </w:r>
      <w:r>
        <w:rPr>
          <w:rFonts w:hint="eastAsia" w:ascii="宋体" w:hAnsi="宋体" w:eastAsia="宋体" w:cs="宋体"/>
          <w:snapToGrid w:val="0"/>
          <w:color w:val="auto"/>
          <w:spacing w:val="-10"/>
          <w:kern w:val="0"/>
          <w:sz w:val="24"/>
          <w:szCs w:val="24"/>
          <w:highlight w:val="none"/>
          <w:lang w:val="en-US" w:eastAsia="en-US" w:bidi="ar-SA"/>
        </w:rPr>
        <w:t>. 特别承诺</w:t>
      </w:r>
    </w:p>
    <w:p w14:paraId="2F72C88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乙方应保证无任何第三方就乙方向甲方提供的服务主张任何权利。如果任何第三 方就乙方向甲方提供的服务主张任何权利，乙方须与第三方交涉并承担由此而产生的一切法律责任和费用，并赔偿因此给甲方造成的一切损失，以及甲方为反驳第三方的主张、向乙方主张权利所支付的各项费用，包括但不限于调查费、律师费、诉讼费等。</w:t>
      </w:r>
    </w:p>
    <w:p w14:paraId="22DA2D5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 服务延期与协议变更</w:t>
      </w:r>
    </w:p>
    <w:p w14:paraId="5AF1E5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9.1  乙方应按照协议规定的时间、地点、服务内容、项目指标完成项目全部服务内容；</w:t>
      </w:r>
    </w:p>
    <w:p w14:paraId="151586B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9.2  在履行协议过程中，如乙方遇到不能按时提供项目服务的事由，应及时以书面形式向甲方提出申请，说明具体变更理由及延长期限方案。甲方在收到乙方申请后</w:t>
      </w:r>
      <w:r>
        <w:rPr>
          <w:rFonts w:hint="eastAsia" w:ascii="宋体" w:hAnsi="宋体" w:eastAsia="宋体" w:cs="宋体"/>
          <w:snapToGrid w:val="0"/>
          <w:color w:val="auto"/>
          <w:spacing w:val="-10"/>
          <w:kern w:val="0"/>
          <w:sz w:val="24"/>
          <w:szCs w:val="24"/>
          <w:highlight w:val="none"/>
          <w:lang w:val="en-US" w:eastAsia="zh-CN" w:bidi="ar-SA"/>
        </w:rPr>
        <w:t>，</w:t>
      </w:r>
      <w:r>
        <w:rPr>
          <w:rFonts w:hint="eastAsia" w:ascii="宋体" w:hAnsi="宋体" w:eastAsia="宋体" w:cs="宋体"/>
          <w:snapToGrid w:val="0"/>
          <w:color w:val="auto"/>
          <w:spacing w:val="-10"/>
          <w:kern w:val="0"/>
          <w:sz w:val="24"/>
          <w:szCs w:val="24"/>
          <w:highlight w:val="none"/>
          <w:lang w:val="en-US" w:eastAsia="en-US" w:bidi="ar-SA"/>
        </w:rPr>
        <w:t>可以酌情进行协议变更。</w:t>
      </w:r>
    </w:p>
    <w:p w14:paraId="00103A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9.3  项目服务期内，经甲方同意，双方可就以下项目内容进行变更：</w:t>
      </w:r>
    </w:p>
    <w:p w14:paraId="601B5D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(1)服务人数、服务次数；</w:t>
      </w:r>
    </w:p>
    <w:p w14:paraId="182FC2D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(2)项目经费；</w:t>
      </w:r>
    </w:p>
    <w:p w14:paraId="5E5260C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(3)项目进度；</w:t>
      </w:r>
    </w:p>
    <w:p w14:paraId="07219EE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(4)终止期限。</w:t>
      </w:r>
    </w:p>
    <w:p w14:paraId="764E60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9.4  上述变更不得改变项目性质、服务内容和服务方式。其中服务人次的调整不得超过原项目指标的10%;</w:t>
      </w:r>
    </w:p>
    <w:p w14:paraId="50E46C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9.5  以上延期与变更，须经甲乙双方书面协议并告知项目评估第三方后生效。</w:t>
      </w:r>
    </w:p>
    <w:p w14:paraId="1D533B5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 协议无过错解除或提前终止</w:t>
      </w:r>
    </w:p>
    <w:p w14:paraId="705A915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10.1  经甲方核实有下列情形之一的，本协议解除；</w:t>
      </w:r>
    </w:p>
    <w:p w14:paraId="1A9D8F1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(1)因第三方原因造成本协议无法履行的；</w:t>
      </w:r>
    </w:p>
    <w:p w14:paraId="1848DB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(2)发生任一不可抗力事项的。</w:t>
      </w:r>
    </w:p>
    <w:p w14:paraId="154621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color w:val="auto"/>
          <w:highlight w:val="none"/>
        </w:rPr>
      </w:pPr>
      <w:r>
        <w:rPr>
          <w:rFonts w:hint="eastAsia" w:ascii="宋体" w:hAnsi="宋体" w:eastAsia="宋体" w:cs="宋体"/>
          <w:snapToGrid w:val="0"/>
          <w:color w:val="auto"/>
          <w:spacing w:val="-10"/>
          <w:kern w:val="0"/>
          <w:sz w:val="24"/>
          <w:szCs w:val="24"/>
          <w:highlight w:val="none"/>
          <w:lang w:val="en-US" w:eastAsia="en-US" w:bidi="ar-SA"/>
        </w:rPr>
        <w:t>10.2   乙方因自身原因申请注销登记或者被撤销登记的，本协议提前终止。</w:t>
      </w:r>
    </w:p>
    <w:p w14:paraId="3CFD894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10.3  以上原因造成本协议的解除或终止，需乙方及时书面说明，自甲方发出书 面通知到达乙方时生效。</w:t>
      </w:r>
    </w:p>
    <w:p w14:paraId="2EC4FB5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10.4  本协议解除或提前终止后，根据协议履行情况，甲方有权要求乙方采取补救措施，进行第三方评估，并适当支付已履行部分项目经费。</w:t>
      </w:r>
    </w:p>
    <w:p w14:paraId="158312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11. 协议解除或提前终止后的自救措施</w:t>
      </w:r>
    </w:p>
    <w:p w14:paraId="497E3AB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本协议解除或终止后，甲方有权选择其他有能力的项目承接方重新作为协议乙方，另行签订协议书，提供同类或类似服务。                                 </w:t>
      </w:r>
    </w:p>
    <w:p w14:paraId="6858AF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 不可抗力                                                           </w:t>
      </w:r>
    </w:p>
    <w:p w14:paraId="1768146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12.1  本协议所称不可抗力是指不能预见、不能避免并不能克服的客观情况，包括但不限于战争、严重火灾、水灾、台风和地震以及其他双方书面同意属于不可抗力的事故；因为不可抗力导致本协议部分或全部不能履行的，可以部分或全部解除本协议，或者根据不可抗力的影响，甲乙双方协商确定适当延长履行期限，或采取双方商定的其他补救措施；                                                  </w:t>
      </w:r>
    </w:p>
    <w:p w14:paraId="52978DB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12.2  受不可抗力的影响而不能履行的一方应在不可抗力发生后第一时间以书面形式通知另一方，并在不可抗力结束后十个工作日，将有关部门出具的证明义件送达给另一方；</w:t>
      </w:r>
    </w:p>
    <w:p w14:paraId="3428A6E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12.3  因为不可抗力不能履行本协议的，根据不可抗力的影响，可以部分或全部免除履约方的责任，法律另有规定的除外。 一方迟延履行后发生不可抗力的，不能</w:t>
      </w:r>
      <w:r>
        <w:rPr>
          <w:rFonts w:hint="eastAsia" w:ascii="宋体" w:hAnsi="宋体" w:eastAsia="宋体" w:cs="宋体"/>
          <w:snapToGrid w:val="0"/>
          <w:color w:val="auto"/>
          <w:spacing w:val="-10"/>
          <w:kern w:val="0"/>
          <w:sz w:val="24"/>
          <w:szCs w:val="24"/>
          <w:highlight w:val="none"/>
          <w:lang w:val="en-US" w:eastAsia="zh-CN" w:bidi="ar-SA"/>
        </w:rPr>
        <w:t>免</w:t>
      </w:r>
      <w:r>
        <w:rPr>
          <w:rFonts w:hint="eastAsia" w:ascii="宋体" w:hAnsi="宋体" w:eastAsia="宋体" w:cs="宋体"/>
          <w:snapToGrid w:val="0"/>
          <w:color w:val="auto"/>
          <w:spacing w:val="-10"/>
          <w:kern w:val="0"/>
          <w:sz w:val="24"/>
          <w:szCs w:val="24"/>
          <w:highlight w:val="none"/>
          <w:lang w:val="en-US" w:eastAsia="en-US" w:bidi="ar-SA"/>
        </w:rPr>
        <w:t xml:space="preserve">除责任。                                                        </w:t>
      </w:r>
    </w:p>
    <w:p w14:paraId="4C96D14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 通知</w:t>
      </w:r>
    </w:p>
    <w:p w14:paraId="697EB09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 13.1</w:t>
      </w:r>
      <w:r>
        <w:rPr>
          <w:rFonts w:hint="eastAsia" w:ascii="宋体" w:hAnsi="宋体" w:eastAsia="宋体" w:cs="宋体"/>
          <w:snapToGrid w:val="0"/>
          <w:color w:val="auto"/>
          <w:spacing w:val="-10"/>
          <w:kern w:val="0"/>
          <w:sz w:val="24"/>
          <w:szCs w:val="24"/>
          <w:highlight w:val="none"/>
          <w:lang w:val="en-US" w:eastAsia="zh-CN" w:bidi="ar-SA"/>
        </w:rPr>
        <w:t>本协议任何一方给另一方的通知、回复、确认等，都应以书面的形式通过</w:t>
      </w:r>
      <w:r>
        <w:rPr>
          <w:rFonts w:hint="eastAsia" w:ascii="宋体" w:hAnsi="宋体" w:eastAsia="宋体" w:cs="宋体"/>
          <w:snapToGrid w:val="0"/>
          <w:color w:val="auto"/>
          <w:spacing w:val="-10"/>
          <w:kern w:val="0"/>
          <w:sz w:val="24"/>
          <w:szCs w:val="24"/>
          <w:highlight w:val="none"/>
          <w:lang w:val="en-US" w:eastAsia="en-US" w:bidi="ar-SA"/>
        </w:rPr>
        <w:t>专人送递、传真、电子邮件或特快专递方式送达，双方的收件地址和收件人以本协议文件中所载明的相关信息为准。如果持特快专递送达通知、回复、确认等；收件日期即为送达日期；</w:t>
      </w:r>
    </w:p>
    <w:p w14:paraId="7A325FD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13.2  如果一方的收件地址、收件人等通讯信息发生变更，应在变更发生后</w:t>
      </w:r>
      <w:r>
        <w:rPr>
          <w:rFonts w:hint="eastAsia" w:ascii="宋体" w:hAnsi="宋体" w:eastAsia="宋体" w:cs="宋体"/>
          <w:snapToGrid w:val="0"/>
          <w:color w:val="auto"/>
          <w:spacing w:val="-10"/>
          <w:kern w:val="0"/>
          <w:sz w:val="24"/>
          <w:szCs w:val="24"/>
          <w:highlight w:val="none"/>
          <w:lang w:val="en-US" w:eastAsia="zh-CN" w:bidi="ar-SA"/>
        </w:rPr>
        <w:t>2个</w:t>
      </w:r>
      <w:r>
        <w:rPr>
          <w:rFonts w:hint="eastAsia" w:ascii="宋体" w:hAnsi="宋体" w:eastAsia="宋体" w:cs="宋体"/>
          <w:snapToGrid w:val="0"/>
          <w:color w:val="auto"/>
          <w:spacing w:val="-10"/>
          <w:kern w:val="0"/>
          <w:sz w:val="24"/>
          <w:szCs w:val="24"/>
          <w:highlight w:val="none"/>
          <w:lang w:val="en-US" w:eastAsia="en-US" w:bidi="ar-SA"/>
        </w:rPr>
        <w:t xml:space="preserve">工作日内书面通知对方。通讯信息发生变更的一方不履行或不及时履行通知义务的自行承担由此引发的一切法律后果。                              </w:t>
      </w:r>
    </w:p>
    <w:p w14:paraId="70DA2D3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default" w:ascii="宋体" w:hAnsi="宋体" w:eastAsia="宋体" w:cs="宋体"/>
          <w:snapToGrid w:val="0"/>
          <w:color w:val="auto"/>
          <w:spacing w:val="-10"/>
          <w:kern w:val="0"/>
          <w:sz w:val="24"/>
          <w:szCs w:val="24"/>
          <w:highlight w:val="none"/>
          <w:lang w:val="en-US" w:eastAsia="zh-CN" w:bidi="ar-SA"/>
        </w:rPr>
      </w:pPr>
      <w:r>
        <w:rPr>
          <w:rFonts w:hint="eastAsia" w:ascii="宋体" w:hAnsi="宋体" w:eastAsia="宋体" w:cs="宋体"/>
          <w:snapToGrid w:val="0"/>
          <w:color w:val="auto"/>
          <w:spacing w:val="-10"/>
          <w:kern w:val="0"/>
          <w:sz w:val="24"/>
          <w:szCs w:val="24"/>
          <w:highlight w:val="none"/>
          <w:lang w:val="en-US" w:eastAsia="zh-CN" w:bidi="ar-SA"/>
        </w:rPr>
        <w:t>14  违约情形</w:t>
      </w:r>
    </w:p>
    <w:p w14:paraId="1B0CAAB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  因乙方自身原因不能履行本协议的；</w:t>
      </w:r>
    </w:p>
    <w:p w14:paraId="1529BD7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14.2  未按照项目预算要求使用项目经费的；</w:t>
      </w:r>
    </w:p>
    <w:p w14:paraId="7161F14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14.3  未按照本协议文件要求及时进行档案管理的；</w:t>
      </w:r>
    </w:p>
    <w:p w14:paraId="7E5F518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14.4  乙方非因不可抗力擅自拖延项目期限的；</w:t>
      </w:r>
    </w:p>
    <w:p w14:paraId="15D9304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14.5  乙方擅自变更服务内容、降低服务质量、减少服务数量的；</w:t>
      </w:r>
    </w:p>
    <w:p w14:paraId="69699AC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14.6  未按照本协议要求，公开透明公示项目执行情况的；</w:t>
      </w:r>
    </w:p>
    <w:p w14:paraId="46D752C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14.7  项目进度严重滞后，中期评估未完成项目既定指标</w:t>
      </w:r>
      <w:r>
        <w:rPr>
          <w:rFonts w:hint="eastAsia" w:ascii="宋体" w:hAnsi="宋体" w:eastAsia="宋体" w:cs="宋体"/>
          <w:snapToGrid w:val="0"/>
          <w:color w:val="auto"/>
          <w:spacing w:val="-10"/>
          <w:kern w:val="0"/>
          <w:sz w:val="24"/>
          <w:szCs w:val="24"/>
          <w:highlight w:val="none"/>
          <w:u w:val="singl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的 ；</w:t>
      </w:r>
    </w:p>
    <w:p w14:paraId="386BAE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14.8  中期评估乙方服务质量严重不符合甲方要求的；</w:t>
      </w:r>
    </w:p>
    <w:p w14:paraId="6E4B607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14.9  乙方中期评估合格或中期后抽查合格，但是项目服务截止期项目指标未达到既定指标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 xml:space="preserve"> 的 ；</w:t>
      </w:r>
    </w:p>
    <w:p w14:paraId="41893BE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14.10  经第三方评估，乙方实施项目过程中存在其他违约情形的。</w:t>
      </w:r>
    </w:p>
    <w:p w14:paraId="3538343C">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 违纪情形</w:t>
      </w:r>
    </w:p>
    <w:p w14:paraId="4111876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以下情形之一构成乙方违纪：</w:t>
      </w:r>
    </w:p>
    <w:p w14:paraId="175E710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15.1  项目实施期间，因乙方责任发生重大安全事故的；</w:t>
      </w:r>
    </w:p>
    <w:p w14:paraId="35C57BD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15.2  项目实施期间，乙方发生侵犯服务对象合法权益事件，社会影响极其恶 劣的；</w:t>
      </w:r>
    </w:p>
    <w:p w14:paraId="73A99AA9">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15.3  乙方瞒报、虚报项目工作，拒不配合第三方监督评估的；</w:t>
      </w:r>
    </w:p>
    <w:p w14:paraId="5C2D8FF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15.4  乙方项目预算经费与项目决算经费相差</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以上的；</w:t>
      </w:r>
    </w:p>
    <w:p w14:paraId="10DB45A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15.5  经第三方评估，乙方实施项目过程中存在其他违纪情形的。</w:t>
      </w:r>
    </w:p>
    <w:p w14:paraId="64744A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 违约违纪责任</w:t>
      </w:r>
    </w:p>
    <w:p w14:paraId="62ACEC2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 xml:space="preserve">16.1  乙方违约违纪的，甲方有权通知乙方即时终止项目活动，并解除本协议。 已支付中期项目经费的，予以追回；末期评估不合格的，甲方有权追回已支付的全部  项目经费，并不再支付 </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尾款；</w:t>
      </w:r>
    </w:p>
    <w:p w14:paraId="50773DB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16.2  乙方中期评估合格或中期后抽查合格，末期评估未完成项目指标的，甲方 有权不再支付余下项目经费；经查实，因乙方自身原因造成项目中期后进度严重滞后 的，乙方应按照16.1的约定承担违约责任；</w:t>
      </w:r>
    </w:p>
    <w:p w14:paraId="4D3947E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16.3  乙方项目实施过程中出现违规、违纪，项目评估不合格的，甲方有权向社 会公布，并结合项目业绩进行下年度社会组织考评工作。</w:t>
      </w:r>
    </w:p>
    <w:p w14:paraId="7A290D6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 处罚</w:t>
      </w:r>
    </w:p>
    <w:p w14:paraId="675A812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17.1  乙方有下列情形之一的，列入不良行为记录名单，在项目期满后</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年内禁止参加政府采购活动；有违法所得的，并处没收违法所得；情节严重的，由登 记机关予以撤销登记；构成犯罪的，依法追究刑事责任：</w:t>
      </w:r>
    </w:p>
    <w:p w14:paraId="30D0140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(1)提供虚假材料谋取中标、成交的；</w:t>
      </w:r>
    </w:p>
    <w:p w14:paraId="3910DDF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(2)采取不正当手段诋毁、排挤其他供应商的；</w:t>
      </w:r>
    </w:p>
    <w:p w14:paraId="566A3494">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(3)与甲方、其他供应方或者采购代理机构恶意串通的；</w:t>
      </w:r>
    </w:p>
    <w:p w14:paraId="7B1B3A8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(4)向甲方、采购代理机构行贿或者提供其他不正当利益的；</w:t>
      </w:r>
    </w:p>
    <w:p w14:paraId="4AD06046">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(5)在招标采购过程中与甲方进行协商谈判的；</w:t>
      </w:r>
    </w:p>
    <w:p w14:paraId="1D6EF7B7">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(6)拒绝有关部门监督检查或者提供虚假情况的。</w:t>
      </w:r>
    </w:p>
    <w:p w14:paraId="7B6B85B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17.2   乙方有前款第(1)至(5)项情形之一 的，中标、成交无效。</w:t>
      </w:r>
    </w:p>
    <w:p w14:paraId="59E3C50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18. 争议的解决</w:t>
      </w:r>
    </w:p>
    <w:p w14:paraId="1348A81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甲方与乙方之间凡因本协议引起的或与本协议有关的一切争议，双方应协商解决； 协商不成的，任何一方均可向甲方住所地人民法院提出诉讼。</w:t>
      </w:r>
    </w:p>
    <w:p w14:paraId="207C83F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 协议文件的修改和解释</w:t>
      </w:r>
    </w:p>
    <w:p w14:paraId="2A2AB9A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19.1   对协议文件的任何变更，均须由甲方与乙方签署书面的协议修改书后方可生效；</w:t>
      </w:r>
    </w:p>
    <w:p w14:paraId="597002E1">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19.2   协议文件的最终解释权归甲方所有。</w:t>
      </w:r>
    </w:p>
    <w:p w14:paraId="2E4BF00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 生效及其他</w:t>
      </w:r>
    </w:p>
    <w:p w14:paraId="6329DC3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20.1   本协议经双方加盖公章后生效，协议执行完毕后自动终止；</w:t>
      </w:r>
    </w:p>
    <w:p w14:paraId="2C9CC10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20.2  本协议一式</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份，以</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书写，双方各执</w:t>
      </w:r>
      <w:r>
        <w:rPr>
          <w:rFonts w:hint="eastAsia" w:ascii="宋体" w:hAnsi="宋体" w:eastAsia="宋体" w:cs="宋体"/>
          <w:snapToGrid w:val="0"/>
          <w:color w:val="auto"/>
          <w:spacing w:val="-10"/>
          <w:kern w:val="0"/>
          <w:sz w:val="24"/>
          <w:szCs w:val="24"/>
          <w:highlight w:val="none"/>
          <w:u w:val="single"/>
          <w:lang w:val="en-US" w:eastAsia="en-US" w:bidi="ar-SA"/>
        </w:rPr>
        <w:t xml:space="preserve">        </w:t>
      </w:r>
      <w:r>
        <w:rPr>
          <w:rFonts w:hint="eastAsia" w:ascii="宋体" w:hAnsi="宋体" w:eastAsia="宋体" w:cs="宋体"/>
          <w:snapToGrid w:val="0"/>
          <w:color w:val="auto"/>
          <w:spacing w:val="-10"/>
          <w:kern w:val="0"/>
          <w:sz w:val="24"/>
          <w:szCs w:val="24"/>
          <w:highlight w:val="none"/>
          <w:lang w:val="en-US" w:eastAsia="en-US" w:bidi="ar-SA"/>
        </w:rPr>
        <w:t>份 ；</w:t>
      </w:r>
    </w:p>
    <w:p w14:paraId="18A3D28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20.3   如需修改或补充本协议内容，经协商，双方应签署书面修改或补充协议， 并将其作为本协议的组成部分；</w:t>
      </w:r>
    </w:p>
    <w:p w14:paraId="01E99DC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20.4   本合同未尽事宜，参照《政府采购法》和《政府采购法实施条例》相关规定执行。</w:t>
      </w:r>
    </w:p>
    <w:p w14:paraId="1E87613F">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E18BED">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1B68CFCE">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0DDA0EF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tbl>
      <w:tblPr>
        <w:tblStyle w:val="6"/>
        <w:tblW w:w="7659" w:type="dxa"/>
        <w:tblInd w:w="353"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3815"/>
        <w:gridCol w:w="3844"/>
      </w:tblGrid>
      <w:tr w14:paraId="164EBC3C">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953" w:hRule="atLeast"/>
        </w:trPr>
        <w:tc>
          <w:tcPr>
            <w:tcW w:w="3815" w:type="dxa"/>
            <w:vAlign w:val="top"/>
          </w:tcPr>
          <w:p w14:paraId="3AA2129A">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甲方：(公章)</w:t>
            </w:r>
          </w:p>
        </w:tc>
        <w:tc>
          <w:tcPr>
            <w:tcW w:w="3844" w:type="dxa"/>
            <w:vAlign w:val="top"/>
          </w:tcPr>
          <w:p w14:paraId="47C199D0">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乙方：(公章)</w:t>
            </w:r>
          </w:p>
        </w:tc>
      </w:tr>
      <w:tr w14:paraId="59DEA80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2033" w:hRule="atLeast"/>
        </w:trPr>
        <w:tc>
          <w:tcPr>
            <w:tcW w:w="3815" w:type="dxa"/>
            <w:vAlign w:val="top"/>
          </w:tcPr>
          <w:p w14:paraId="07AE3C2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20D2B148">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5D6D4462">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c>
          <w:tcPr>
            <w:tcW w:w="3844" w:type="dxa"/>
            <w:vAlign w:val="top"/>
          </w:tcPr>
          <w:p w14:paraId="25FD4A5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p>
          <w:p w14:paraId="750C75C5">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法定代表人或</w:t>
            </w:r>
          </w:p>
          <w:p w14:paraId="1CE60123">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授权代表：(签字)</w:t>
            </w:r>
          </w:p>
        </w:tc>
      </w:tr>
    </w:tbl>
    <w:p w14:paraId="6477A4EB">
      <w:pPr>
        <w:keepNext w:val="0"/>
        <w:keepLines w:val="0"/>
        <w:pageBreakBefore w:val="0"/>
        <w:widowControl/>
        <w:kinsoku w:val="0"/>
        <w:wordWrap/>
        <w:overflowPunct/>
        <w:topLinePunct w:val="0"/>
        <w:autoSpaceDE w:val="0"/>
        <w:autoSpaceDN w:val="0"/>
        <w:bidi w:val="0"/>
        <w:adjustRightInd w:val="0"/>
        <w:snapToGrid w:val="0"/>
        <w:spacing w:line="360" w:lineRule="auto"/>
        <w:ind w:right="0" w:firstLine="440" w:firstLineChars="200"/>
        <w:textAlignment w:val="baseline"/>
        <w:rPr>
          <w:rFonts w:hint="eastAsia" w:ascii="宋体" w:hAnsi="宋体" w:eastAsia="宋体" w:cs="宋体"/>
          <w:snapToGrid w:val="0"/>
          <w:color w:val="auto"/>
          <w:spacing w:val="-10"/>
          <w:kern w:val="0"/>
          <w:sz w:val="24"/>
          <w:szCs w:val="24"/>
          <w:highlight w:val="none"/>
          <w:lang w:val="en-US" w:eastAsia="en-US" w:bidi="ar-SA"/>
        </w:rPr>
      </w:pPr>
      <w:r>
        <w:rPr>
          <w:rFonts w:hint="eastAsia" w:ascii="宋体" w:hAnsi="宋体" w:eastAsia="宋体" w:cs="宋体"/>
          <w:snapToGrid w:val="0"/>
          <w:color w:val="auto"/>
          <w:spacing w:val="-10"/>
          <w:kern w:val="0"/>
          <w:sz w:val="24"/>
          <w:szCs w:val="24"/>
          <w:highlight w:val="none"/>
          <w:lang w:val="en-US" w:eastAsia="en-US" w:bidi="ar-SA"/>
        </w:rPr>
        <w:t>年    月    日</w:t>
      </w:r>
      <w:r>
        <w:rPr>
          <w:rFonts w:hint="eastAsia" w:ascii="宋体" w:hAnsi="宋体" w:eastAsia="宋体" w:cs="宋体"/>
          <w:snapToGrid w:val="0"/>
          <w:color w:val="auto"/>
          <w:spacing w:val="-10"/>
          <w:kern w:val="0"/>
          <w:sz w:val="24"/>
          <w:szCs w:val="24"/>
          <w:highlight w:val="none"/>
          <w:lang w:val="en-US" w:eastAsia="zh-CN" w:bidi="ar-SA"/>
        </w:rPr>
        <w:t xml:space="preserve">                   </w:t>
      </w:r>
      <w:r>
        <w:rPr>
          <w:rFonts w:hint="eastAsia" w:ascii="宋体" w:hAnsi="宋体" w:eastAsia="宋体" w:cs="宋体"/>
          <w:snapToGrid w:val="0"/>
          <w:color w:val="auto"/>
          <w:spacing w:val="-10"/>
          <w:kern w:val="0"/>
          <w:sz w:val="24"/>
          <w:szCs w:val="24"/>
          <w:highlight w:val="none"/>
          <w:lang w:val="en-US" w:eastAsia="en-US" w:bidi="ar-SA"/>
        </w:rPr>
        <w:t>年    月    日</w:t>
      </w:r>
    </w:p>
    <w:p w14:paraId="50ED375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9F1D23"/>
    <w:rsid w:val="119F1D23"/>
    <w:rsid w:val="7ACE0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2">
    <w:name w:val="heading 2"/>
    <w:basedOn w:val="1"/>
    <w:next w:val="1"/>
    <w:qFormat/>
    <w:uiPriority w:val="9"/>
    <w:pPr>
      <w:keepNext/>
      <w:keepLines/>
      <w:spacing w:before="260" w:after="260" w:line="415" w:lineRule="auto"/>
      <w:outlineLvl w:val="1"/>
    </w:pPr>
    <w:rPr>
      <w:rFonts w:ascii="Cambria" w:hAnsi="Cambria" w:cs="Cambria"/>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spacing w:after="120" w:afterLines="0"/>
    </w:pPr>
    <w:rPr>
      <w:rFonts w:ascii="Times New Roman"/>
      <w:kern w:val="2"/>
      <w:sz w:val="21"/>
    </w:rPr>
  </w:style>
  <w:style w:type="table" w:customStyle="1" w:styleId="6">
    <w:name w:val="Table Normal"/>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4956</Words>
  <Characters>5228</Characters>
  <Lines>0</Lines>
  <Paragraphs>0</Paragraphs>
  <TotalTime>10</TotalTime>
  <ScaleCrop>false</ScaleCrop>
  <LinksUpToDate>false</LinksUpToDate>
  <CharactersWithSpaces>5872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2025-04-21T02:16:00Z</dcterms:created>
  <dc:creator>️☆彡</dc:creator>
  <cp:lastModifiedBy>️☆彡</cp:lastModifiedBy>
  <dcterms:modified xsi:type="dcterms:W3CDTF">2025-05-27T02:20:45Z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42975757443C4583AC856030A6B3ACC2_13</vt:lpwstr>
  </property>
  <property fmtid="{D5CDD505-2E9C-101B-9397-08002B2CF9AE}" pid="4" name="KSOTemplateDocerSaveRecord">
    <vt:lpwstr>eyJoZGlkIjoiODNlOTIxNWE1ODJhMDZmOGYzNzNiZDViMjA0Mzg0NDIiLCJ1c2VySWQiOiI1MDI4ODc5OTAifQ==</vt:lpwstr>
  </property>
</Properties>
</file>