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版本号：2025-ZYD-ZB-02120250523001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2024年第二批省级林草有害生物防治补助项目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2025-ZYD-ZB-021</w:t>
      </w:r>
      <w:r>
        <w:br/>
      </w:r>
      <w:r>
        <w:br/>
      </w:r>
      <w:r>
        <w:br/>
      </w:r>
    </w:p>
    <w:p>
      <w:pPr>
        <w:pStyle w:val="null3"/>
        <w:jc w:val="center"/>
        <w:outlineLvl w:val="2"/>
      </w:pPr>
      <w:r>
        <w:rPr>
          <w:rFonts w:ascii="仿宋_GB2312" w:hAnsi="仿宋_GB2312" w:cs="仿宋_GB2312" w:eastAsia="仿宋_GB2312"/>
          <w:sz w:val="28"/>
          <w:b/>
        </w:rPr>
        <w:t>西安市周至县林业工作站</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西安市周至县林业工作站</w:t>
      </w:r>
      <w:r>
        <w:rPr>
          <w:rFonts w:ascii="仿宋_GB2312" w:hAnsi="仿宋_GB2312" w:cs="仿宋_GB2312" w:eastAsia="仿宋_GB2312"/>
        </w:rPr>
        <w:t>委托，拟对</w:t>
      </w:r>
      <w:r>
        <w:rPr>
          <w:rFonts w:ascii="仿宋_GB2312" w:hAnsi="仿宋_GB2312" w:cs="仿宋_GB2312" w:eastAsia="仿宋_GB2312"/>
        </w:rPr>
        <w:t>2024年第二批省级林草有害生物防治补助项目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2024年第二批省级林草有害生物防治补助项目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在美国白蛾疫情重点防控区域架设美国白蛾诱捕器200台，定人定点监控疑似虫情；2.采取多轮次人工巡查方式监控境内林分有无感染美国白蛾疫情及其他病虫，有效累计普查面积20万亩，及时发布预警信息；3.对病虫危害林分及时采取预防性防治面积2.5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采购包1（2024年第二批省级林草有害生物防治补助项目）：属于专门面向中小企业采购。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1、营业执照：投标人须具有独立承担民事责任能力的法人或其他组织，提供营业执照或事业单位法人证书或自然人的身份证明；</w:t>
      </w:r>
    </w:p>
    <w:p>
      <w:pPr>
        <w:pStyle w:val="null3"/>
      </w:pPr>
      <w:r>
        <w:rPr>
          <w:rFonts w:ascii="仿宋_GB2312" w:hAnsi="仿宋_GB2312" w:cs="仿宋_GB2312" w:eastAsia="仿宋_GB2312"/>
        </w:rPr>
        <w:t>2、法定代表人及被授权人：具备合格有效的法定代表人授权书及被授权人身份证（法定代表人参加需提供法定代表人资格证明书和身份证）；</w:t>
      </w:r>
    </w:p>
    <w:p>
      <w:pPr>
        <w:pStyle w:val="null3"/>
      </w:pPr>
      <w:r>
        <w:rPr>
          <w:rFonts w:ascii="仿宋_GB2312" w:hAnsi="仿宋_GB2312" w:cs="仿宋_GB2312" w:eastAsia="仿宋_GB2312"/>
        </w:rPr>
        <w:t>3、财务状况报告：提供2023年度或2024年度投标人的财务报告或开标前六个月内其基本账户银行出具的资信证明；</w:t>
      </w:r>
    </w:p>
    <w:p>
      <w:pPr>
        <w:pStyle w:val="null3"/>
      </w:pPr>
      <w:r>
        <w:rPr>
          <w:rFonts w:ascii="仿宋_GB2312" w:hAnsi="仿宋_GB2312" w:cs="仿宋_GB2312" w:eastAsia="仿宋_GB2312"/>
        </w:rPr>
        <w:t>4、税收缴纳证明：投标人需提供投标截至日期前6个月内任意一个月的完税凭证或税务机关开具的完税证明（任意税种）；依法免税的应提供相关文件证明；</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6、书面声明：投标人提供参加政府采购活动近三年内在经营活动中没有重大违法记录的书面声明；</w:t>
      </w:r>
    </w:p>
    <w:p>
      <w:pPr>
        <w:pStyle w:val="null3"/>
      </w:pPr>
      <w:r>
        <w:rPr>
          <w:rFonts w:ascii="仿宋_GB2312" w:hAnsi="仿宋_GB2312" w:cs="仿宋_GB2312" w:eastAsia="仿宋_GB2312"/>
        </w:rPr>
        <w:t>7、信用查询：投标人应在投标截止日前未被列入失信被执行人、重大税收违法失信主体名单、政府采购严重违法失信行为记录名单（处罚期限届满的除外）（以“信用中国”网站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p>
      <w:pPr>
        <w:pStyle w:val="null3"/>
      </w:pPr>
      <w:r>
        <w:rPr>
          <w:rFonts w:ascii="仿宋_GB2312" w:hAnsi="仿宋_GB2312" w:cs="仿宋_GB2312" w:eastAsia="仿宋_GB2312"/>
        </w:rPr>
        <w:t>8、资质证书：供应商应提供《陕西省林业有害生物防治资质证书》资质等级丁级及以上资质；</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西安市周至县公园一号（陕西中扬德项目管理有限公司）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029-85160588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 代理机构一次付清代理 服务费。 采购代理服务费的金额依据《招标代理服务收费管理暂行办法 》 计价格[2002]1980 号文、《国家发展改革委关于降低部分建设项目收费标准规范收费行为 等有关问题的通知》 发 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西安市周至县林业工作站</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项目按时完工，达到国家现行法律法规及行业要求合格标准。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联系电话：029-85160588</w:t>
      </w:r>
    </w:p>
    <w:p>
      <w:pPr>
        <w:pStyle w:val="null3"/>
      </w:pPr>
      <w:r>
        <w:rPr>
          <w:rFonts w:ascii="仿宋_GB2312" w:hAnsi="仿宋_GB2312" w:cs="仿宋_GB2312" w:eastAsia="仿宋_GB2312"/>
        </w:rPr>
        <w:t>地址：西安市周至县公园一号（陕西中扬德项目管理有限公司）</w:t>
      </w:r>
    </w:p>
    <w:p>
      <w:pPr>
        <w:pStyle w:val="null3"/>
      </w:pPr>
      <w:r>
        <w:rPr>
          <w:rFonts w:ascii="仿宋_GB2312" w:hAnsi="仿宋_GB2312" w:cs="仿宋_GB2312" w:eastAsia="仿宋_GB2312"/>
        </w:rPr>
        <w:t>邮编：710400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1.在美国白蛾疫情重点防控区域架设美国白蛾诱捕器；2.采取人工巡查方式监控境内林分；3.对病虫危害林分及时采取预防性防治。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389,000.00</w:t>
      </w:r>
    </w:p>
    <w:p>
      <w:pPr>
        <w:pStyle w:val="null3"/>
      </w:pPr>
      <w:r>
        <w:rPr>
          <w:rFonts w:ascii="仿宋_GB2312" w:hAnsi="仿宋_GB2312" w:cs="仿宋_GB2312" w:eastAsia="仿宋_GB2312"/>
        </w:rPr>
        <w:t>采购包最高限价（元）: 389,000.00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2024年第二批省级林草有害生物防治补助项目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标的名称：2024年第二批省级林草有害生物防治补助项目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333333"/>
              </w:rPr>
              <w:t>一、项目名称：</w:t>
            </w:r>
            <w:r>
              <w:rPr>
                <w:rFonts w:ascii="仿宋_GB2312" w:hAnsi="仿宋_GB2312" w:cs="仿宋_GB2312" w:eastAsia="仿宋_GB2312"/>
                <w:sz w:val="24"/>
                <w:color w:val="333333"/>
              </w:rPr>
              <w:t>2024年第二批省级林草有害生物防治补助项目</w:t>
            </w:r>
          </w:p>
          <w:p>
            <w:pPr>
              <w:pStyle w:val="null3"/>
              <w:jc w:val="left"/>
            </w:pPr>
            <w:r>
              <w:rPr>
                <w:rFonts w:ascii="仿宋_GB2312" w:hAnsi="仿宋_GB2312" w:cs="仿宋_GB2312" w:eastAsia="仿宋_GB2312"/>
                <w:sz w:val="21"/>
                <w:b/>
                <w:color w:val="333333"/>
              </w:rPr>
              <w:t>二、项目实施单位：</w:t>
            </w:r>
            <w:r>
              <w:rPr>
                <w:rFonts w:ascii="仿宋_GB2312" w:hAnsi="仿宋_GB2312" w:cs="仿宋_GB2312" w:eastAsia="仿宋_GB2312"/>
                <w:sz w:val="21"/>
                <w:color w:val="333333"/>
              </w:rPr>
              <w:t>周至县林业工作站</w:t>
            </w:r>
          </w:p>
          <w:p>
            <w:pPr>
              <w:pStyle w:val="null3"/>
              <w:jc w:val="left"/>
            </w:pPr>
            <w:r>
              <w:rPr>
                <w:rFonts w:ascii="仿宋_GB2312" w:hAnsi="仿宋_GB2312" w:cs="仿宋_GB2312" w:eastAsia="仿宋_GB2312"/>
                <w:sz w:val="21"/>
                <w:b/>
                <w:color w:val="333333"/>
              </w:rPr>
              <w:t>三、项目实施内容：</w:t>
            </w:r>
            <w:r>
              <w:rPr>
                <w:rFonts w:ascii="仿宋_GB2312" w:hAnsi="仿宋_GB2312" w:cs="仿宋_GB2312" w:eastAsia="仿宋_GB2312"/>
                <w:sz w:val="21"/>
                <w:color w:val="333333"/>
              </w:rPr>
              <w:t>本项目建设目标主要有</w:t>
            </w:r>
            <w:r>
              <w:rPr>
                <w:rFonts w:ascii="仿宋_GB2312" w:hAnsi="仿宋_GB2312" w:cs="仿宋_GB2312" w:eastAsia="仿宋_GB2312"/>
                <w:sz w:val="21"/>
                <w:color w:val="333333"/>
              </w:rPr>
              <w:t>三</w:t>
            </w:r>
            <w:r>
              <w:rPr>
                <w:rFonts w:ascii="仿宋_GB2312" w:hAnsi="仿宋_GB2312" w:cs="仿宋_GB2312" w:eastAsia="仿宋_GB2312"/>
                <w:sz w:val="21"/>
                <w:color w:val="333333"/>
              </w:rPr>
              <w:t>项：一是在美国白蛾疫情重点防控区域架设美国白蛾诱捕器</w:t>
            </w:r>
            <w:r>
              <w:rPr>
                <w:rFonts w:ascii="仿宋_GB2312" w:hAnsi="仿宋_GB2312" w:cs="仿宋_GB2312" w:eastAsia="仿宋_GB2312"/>
                <w:sz w:val="21"/>
                <w:color w:val="333333"/>
              </w:rPr>
              <w:t>200台，定人定点监控疑似虫情；二是采取多轮次人工巡查方式监控境内林分有无感染美国白蛾疫情及其他病虫，有效累计普查面积20万亩，及时发布预警信息；三是对病虫危害林分及时采取预防性防治面积2.5万亩。</w:t>
            </w:r>
          </w:p>
          <w:p>
            <w:pPr>
              <w:pStyle w:val="null3"/>
              <w:jc w:val="left"/>
            </w:pPr>
            <w:r>
              <w:rPr>
                <w:rFonts w:ascii="仿宋_GB2312" w:hAnsi="仿宋_GB2312" w:cs="仿宋_GB2312" w:eastAsia="仿宋_GB2312"/>
                <w:sz w:val="21"/>
                <w:b/>
                <w:color w:val="333333"/>
              </w:rPr>
              <w:t>四、主要技术措施：</w:t>
            </w:r>
          </w:p>
          <w:p>
            <w:pPr>
              <w:pStyle w:val="null3"/>
              <w:ind w:firstLine="566"/>
              <w:jc w:val="both"/>
            </w:pPr>
            <w:r>
              <w:rPr>
                <w:rFonts w:ascii="仿宋_GB2312" w:hAnsi="仿宋_GB2312" w:cs="仿宋_GB2312" w:eastAsia="仿宋_GB2312"/>
                <w:sz w:val="21"/>
                <w:color w:val="333333"/>
              </w:rPr>
              <w:t>1、架设诱捕器开展虫情监测：</w:t>
            </w:r>
          </w:p>
          <w:p>
            <w:pPr>
              <w:pStyle w:val="null3"/>
              <w:ind w:firstLine="566"/>
              <w:jc w:val="both"/>
            </w:pPr>
            <w:r>
              <w:rPr>
                <w:rFonts w:ascii="仿宋_GB2312" w:hAnsi="仿宋_GB2312" w:cs="仿宋_GB2312" w:eastAsia="仿宋_GB2312"/>
                <w:sz w:val="21"/>
                <w:color w:val="333333"/>
              </w:rPr>
              <w:t>在林草有害生物监测主要风险区域，沿主要骨干道路、林带架设美国白蛾诱捕器</w:t>
            </w:r>
            <w:r>
              <w:rPr>
                <w:rFonts w:ascii="仿宋_GB2312" w:hAnsi="仿宋_GB2312" w:cs="仿宋_GB2312" w:eastAsia="仿宋_GB2312"/>
                <w:sz w:val="21"/>
                <w:color w:val="333333"/>
              </w:rPr>
              <w:t>200台监测美国白蛾虫情，在其他林草有害生物常发乡镇设置监测点，实行定人定点观测虫情，及时上报，为预测虫情提供依据。需要进一步鉴定确认的采样及时报送县局检验甄别，按照林业有害生物防控技术规程指导做好应急处置，并以此为中心向周围林区做好排查工作。</w:t>
            </w:r>
          </w:p>
          <w:p>
            <w:pPr>
              <w:pStyle w:val="null3"/>
              <w:ind w:firstLine="566"/>
              <w:jc w:val="both"/>
            </w:pPr>
            <w:r>
              <w:rPr>
                <w:rFonts w:ascii="仿宋_GB2312" w:hAnsi="仿宋_GB2312" w:cs="仿宋_GB2312" w:eastAsia="仿宋_GB2312"/>
                <w:sz w:val="21"/>
                <w:color w:val="333333"/>
              </w:rPr>
              <w:t>2、开展人工排查：</w:t>
            </w:r>
          </w:p>
          <w:p>
            <w:pPr>
              <w:pStyle w:val="null3"/>
              <w:ind w:firstLine="566"/>
              <w:jc w:val="both"/>
            </w:pPr>
            <w:r>
              <w:rPr>
                <w:rFonts w:ascii="仿宋_GB2312" w:hAnsi="仿宋_GB2312" w:cs="仿宋_GB2312" w:eastAsia="仿宋_GB2312"/>
                <w:sz w:val="21"/>
                <w:color w:val="333333"/>
              </w:rPr>
              <w:t>以林草有害生物监测风险区和风险点为中心，对周边镇村林分、苗圃进行踏查排除，重点防控区域范围内的行道树、片林、房前屋后树木、苗圃要每隔</w:t>
            </w:r>
            <w:r>
              <w:rPr>
                <w:rFonts w:ascii="仿宋_GB2312" w:hAnsi="仿宋_GB2312" w:cs="仿宋_GB2312" w:eastAsia="仿宋_GB2312"/>
                <w:sz w:val="21"/>
                <w:color w:val="333333"/>
              </w:rPr>
              <w:t>3-5天全面排查。一般防控区域10-15天排查一次。普查主要以踏查为主，观察树上有无幼虫危害时形成的网幕，叶片有无啃食过的网膜状痕迹，查看树冠枝条端部或近端部叶片背面是否有卵块，树干、墙壁、电杆、草本植物及附近物体上是否有成虫，累计有效普查面积20万亩。</w:t>
            </w:r>
          </w:p>
          <w:p>
            <w:pPr>
              <w:pStyle w:val="null3"/>
              <w:ind w:firstLine="640"/>
              <w:jc w:val="both"/>
            </w:pPr>
            <w:r>
              <w:rPr>
                <w:rFonts w:ascii="仿宋_GB2312" w:hAnsi="仿宋_GB2312" w:cs="仿宋_GB2312" w:eastAsia="仿宋_GB2312"/>
                <w:sz w:val="21"/>
                <w:color w:val="333333"/>
              </w:rPr>
              <w:t>3、其他林草有害生物监测：</w:t>
            </w:r>
          </w:p>
          <w:p>
            <w:pPr>
              <w:pStyle w:val="null3"/>
              <w:ind w:firstLine="640"/>
              <w:jc w:val="both"/>
            </w:pPr>
            <w:r>
              <w:rPr>
                <w:rFonts w:ascii="仿宋_GB2312" w:hAnsi="仿宋_GB2312" w:cs="仿宋_GB2312" w:eastAsia="仿宋_GB2312"/>
                <w:sz w:val="21"/>
                <w:color w:val="333333"/>
              </w:rPr>
              <w:t>在我县长发的林草有害生物主要包括</w:t>
            </w:r>
            <w:r>
              <w:rPr>
                <w:rFonts w:ascii="仿宋_GB2312" w:hAnsi="仿宋_GB2312" w:cs="仿宋_GB2312" w:eastAsia="仿宋_GB2312"/>
                <w:sz w:val="21"/>
                <w:color w:val="333333"/>
                <w:shd w:fill="FFFFFF" w:val="clear"/>
              </w:rPr>
              <w:t>黄刺蛾、国槐尺蠖、杨小舟蛾、杨扇舟蛾、金龟子等虫害，虫情监测工作通过人员巡查和设点调查结合进行。在尚村、终南、四屯、广济、翠峰等重点区域建立虫情监测点，</w:t>
            </w:r>
            <w:r>
              <w:rPr>
                <w:rFonts w:ascii="仿宋_GB2312" w:hAnsi="仿宋_GB2312" w:cs="仿宋_GB2312" w:eastAsia="仿宋_GB2312"/>
                <w:sz w:val="21"/>
                <w:color w:val="333333"/>
              </w:rPr>
              <w:t>收集害虫、记录和报送数据，为研判各类虫情和适时防治提供依据。</w:t>
            </w:r>
          </w:p>
          <w:p>
            <w:pPr>
              <w:pStyle w:val="null3"/>
              <w:ind w:firstLine="640"/>
              <w:jc w:val="both"/>
            </w:pPr>
            <w:r>
              <w:rPr>
                <w:rFonts w:ascii="仿宋_GB2312" w:hAnsi="仿宋_GB2312" w:cs="仿宋_GB2312" w:eastAsia="仿宋_GB2312"/>
                <w:sz w:val="21"/>
                <w:color w:val="333333"/>
              </w:rPr>
              <w:t>4、开展虫情灾害损失预防性防治：</w:t>
            </w:r>
          </w:p>
          <w:p>
            <w:pPr>
              <w:pStyle w:val="null3"/>
              <w:ind w:firstLine="640"/>
              <w:jc w:val="both"/>
            </w:pPr>
            <w:r>
              <w:rPr>
                <w:rFonts w:ascii="仿宋_GB2312" w:hAnsi="仿宋_GB2312" w:cs="仿宋_GB2312" w:eastAsia="仿宋_GB2312"/>
                <w:sz w:val="21"/>
                <w:color w:val="333333"/>
                <w:shd w:fill="FFFFFF" w:val="clear"/>
              </w:rPr>
              <w:t>结合林草有害生物监测结果，积极开展寄主林分虫情针对性预防性防治，主要防治区域为可能发生美国白蛾疫情的风险区域及周边林分，对我县农林业生产造成较大生物灾害损失的黄刺蛾、金龟子、国槐尺蠖等虫情分布区域。根据林分实际开展高压喷雾防治、无人机防治等形式，累计防治面积为</w:t>
            </w:r>
            <w:r>
              <w:rPr>
                <w:rFonts w:ascii="仿宋_GB2312" w:hAnsi="仿宋_GB2312" w:cs="仿宋_GB2312" w:eastAsia="仿宋_GB2312"/>
                <w:sz w:val="21"/>
                <w:color w:val="333333"/>
                <w:shd w:fill="FFFFFF" w:val="clear"/>
              </w:rPr>
              <w:t>2.5万亩。</w:t>
            </w:r>
          </w:p>
          <w:p>
            <w:pPr>
              <w:pStyle w:val="null3"/>
              <w:ind w:firstLine="566"/>
              <w:jc w:val="both"/>
            </w:pPr>
            <w:r>
              <w:rPr>
                <w:rFonts w:ascii="仿宋_GB2312" w:hAnsi="仿宋_GB2312" w:cs="仿宋_GB2312" w:eastAsia="仿宋_GB2312"/>
                <w:sz w:val="21"/>
                <w:color w:val="333333"/>
              </w:rPr>
              <w:t>5、合理使用无公害药剂，多种方式互补防治：</w:t>
            </w:r>
          </w:p>
          <w:p>
            <w:pPr>
              <w:pStyle w:val="null3"/>
              <w:ind w:firstLine="566"/>
              <w:jc w:val="both"/>
            </w:pPr>
            <w:r>
              <w:rPr>
                <w:rFonts w:ascii="仿宋_GB2312" w:hAnsi="仿宋_GB2312" w:cs="仿宋_GB2312" w:eastAsia="仿宋_GB2312"/>
                <w:sz w:val="21"/>
                <w:color w:val="333333"/>
              </w:rPr>
              <w:t>对可能发生美国白蛾疫情或严重虫灾损失的道路两侧、林带、片林、房前屋后等范围开展预防性药剂防治，药剂使用综合考虑林分密度、天气因素、人为活动范围等。药剂选择要十分注意对生态环境的影响和安全性，主要选择仿生、生物药剂和植物性杀虫剂，禁止使用国家限制使用的高毒、高残留农药，落实好安全用药规定和防治人员安全措施，做好喷药区域人员、禽畜的防范工作。</w:t>
            </w:r>
          </w:p>
          <w:p>
            <w:pPr>
              <w:pStyle w:val="null3"/>
              <w:ind w:firstLine="566"/>
              <w:jc w:val="both"/>
            </w:pPr>
            <w:r>
              <w:rPr>
                <w:rFonts w:ascii="仿宋_GB2312" w:hAnsi="仿宋_GB2312" w:cs="仿宋_GB2312" w:eastAsia="仿宋_GB2312"/>
                <w:sz w:val="24"/>
                <w:b/>
                <w:color w:val="333333"/>
              </w:rPr>
              <w:t>四、保障措施：</w:t>
            </w:r>
            <w:r>
              <w:rPr>
                <w:rFonts w:ascii="仿宋_GB2312" w:hAnsi="仿宋_GB2312" w:cs="仿宋_GB2312" w:eastAsia="仿宋_GB2312"/>
                <w:sz w:val="21"/>
                <w:color w:val="333333"/>
              </w:rPr>
              <w:t>1、加强项目监管，成立项目建设领导小组，负责做好项目实施目标完成情况监督管理、实施过程管理和防控效果管理，做好项目实施建设环节资料收集、整理和上报，随时接受上级主管部门的指导、检查、监督。</w:t>
            </w:r>
          </w:p>
          <w:p>
            <w:pPr>
              <w:pStyle w:val="null3"/>
              <w:ind w:firstLine="707"/>
              <w:jc w:val="both"/>
            </w:pPr>
            <w:r>
              <w:rPr>
                <w:rFonts w:ascii="仿宋_GB2312" w:hAnsi="仿宋_GB2312" w:cs="仿宋_GB2312" w:eastAsia="仿宋_GB2312"/>
                <w:sz w:val="21"/>
                <w:color w:val="333333"/>
              </w:rPr>
              <w:t>2、项目建设采取竞标形式，由有资质的防治公司采取技术承包，全面负责林草有害生物日常监测、普查和预防性防治日常工作，并提供资金由森防站对普查工作人员进行技术培训，明确虫情监测普查具体要求和防治目标，协调技术人员跟踪技术指导普查工作，力求普查不漏死角，第一时间发现虫情，及时得到处理，确保虫情防控工作有序开展。</w:t>
            </w:r>
          </w:p>
          <w:p>
            <w:pPr>
              <w:pStyle w:val="null3"/>
              <w:ind w:firstLine="707"/>
              <w:jc w:val="both"/>
            </w:pPr>
            <w:r>
              <w:rPr>
                <w:rFonts w:ascii="仿宋_GB2312" w:hAnsi="仿宋_GB2312" w:cs="仿宋_GB2312" w:eastAsia="仿宋_GB2312"/>
                <w:sz w:val="21"/>
                <w:color w:val="333333"/>
              </w:rPr>
              <w:t>3、加强项目资金管理，坚持专款专用，确保发挥项目资金效益。</w:t>
            </w:r>
          </w:p>
          <w:p>
            <w:pPr>
              <w:pStyle w:val="null3"/>
              <w:ind w:firstLine="707"/>
              <w:jc w:val="both"/>
            </w:pPr>
            <w:r>
              <w:rPr>
                <w:rFonts w:ascii="仿宋_GB2312" w:hAnsi="仿宋_GB2312" w:cs="仿宋_GB2312" w:eastAsia="仿宋_GB2312"/>
                <w:sz w:val="21"/>
                <w:color w:val="333333"/>
              </w:rPr>
              <w:t>4、建立普查防控工作档案，完善虫情汇总和建档，做好图片、音像、文字等项目实施资料收集，力求全面、真实，为项目建设领导小组掌控项目实施情况提供依据。</w:t>
            </w:r>
          </w:p>
          <w:p>
            <w:pPr>
              <w:pStyle w:val="null3"/>
              <w:spacing w:before="255" w:after="255"/>
              <w:jc w:val="left"/>
            </w:pPr>
            <w:r>
              <w:rPr>
                <w:rFonts w:ascii="仿宋_GB2312" w:hAnsi="仿宋_GB2312" w:cs="仿宋_GB2312" w:eastAsia="仿宋_GB2312"/>
                <w:sz w:val="21"/>
                <w:b/>
                <w:color w:val="333333"/>
              </w:rPr>
              <w:t>六、清单</w:t>
            </w:r>
          </w:p>
          <w:tbl>
            <w:tblPr>
              <w:tblInd w:type="dxa" w:w="120"/>
              <w:tblBorders>
                <w:top w:val="none" w:color="000000" w:sz="4"/>
                <w:left w:val="none" w:color="000000" w:sz="4"/>
                <w:bottom w:val="none" w:color="000000" w:sz="4"/>
                <w:right w:val="none" w:color="000000" w:sz="4"/>
                <w:insideH w:val="none"/>
                <w:insideV w:val="none"/>
              </w:tblBorders>
            </w:tblPr>
            <w:tblGrid>
              <w:gridCol w:w="54"/>
              <w:gridCol w:w="79"/>
              <w:gridCol w:w="108"/>
              <w:gridCol w:w="85"/>
            </w:tblGrid>
            <w:tr>
              <w:tc>
                <w:tcPr>
                  <w:tcW w:type="dxa" w:w="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序号</w:t>
                  </w:r>
                </w:p>
              </w:tc>
              <w:tc>
                <w:tcPr>
                  <w:tcW w:type="dxa" w:w="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项目</w:t>
                  </w:r>
                </w:p>
              </w:tc>
              <w:tc>
                <w:tcPr>
                  <w:tcW w:type="dxa" w:w="1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建设内容</w:t>
                  </w:r>
                </w:p>
              </w:tc>
              <w:tc>
                <w:tcPr>
                  <w:tcW w:type="dxa" w:w="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数量</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人工普查</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美国白蛾疫情监测普查</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20万亩</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诱捕器监测</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美国白蛾诱捕器</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200台</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药剂防治面积</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喷雾措施防治</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2.5万亩</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配备满足本项目各专业要求，根据人员及设备安排的科学性、合理性安排。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配备满足本项目各专业要求，根据人员及设备安排的科学性、合理性安排。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周至县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项目实施结束后，乙方报请甲方验收，并经主管部门验收合格后，在甲方处办理百分之九十五（95%）项目款的支付手续；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剩余合同总金额百分之五（5%）作为质保金，自终验结束之日起12个月内，在无索赔争议的情况下，在甲方处办理百分之五（5%）项目款的支付手续。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甲乙双方所有争议应先采取友好协商的解决方式。协商未达成一致意见的，甲乙双方均可向甲方所在地有管辖权的人民法院提起诉讼。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投标人参与采购活动的承诺函 供应商应提供的资格证明文件材料 响应函 投标人认为需要提供的其它资料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至少包括资产负债表和利润表，成立时间至提交响应文件截止时间不足一年的可提供成立后任意时段的资产负债表），或其基本存款账户开户银行出具的开标日期前六个月内资信证明及基本存款账户开户许可证（基本存款账户信息）(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服务承诺 供应商应提供的资格证明文件材料 响应函 投标人认为需要提供的其它资料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法定代表人授权委托书 中小企业声明函 投标人认为需要提供的其它资料 法定代表人资格证明书 业绩一览表 响应文件封面 设备一览表 项目团队人员 项目实施总体方案 残疾人福利性单位声明函 供应商应提供的资格证明文件材料 标的清单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响应文件封面 供应商应提供的资格证明文件材料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法定代表人及被授权人</w:t>
            </w:r>
          </w:p>
        </w:tc>
        <w:tc>
          <w:tcPr>
            <w:tcW w:type="dxa" w:w="3322"/>
          </w:tcPr>
          <w:p>
            <w:pPr>
              <w:pStyle w:val="null3"/>
            </w:pPr>
            <w:r>
              <w:rPr>
                <w:rFonts w:ascii="仿宋_GB2312" w:hAnsi="仿宋_GB2312" w:cs="仿宋_GB2312" w:eastAsia="仿宋_GB2312"/>
              </w:rPr>
              <w:t>具备合格有效的法定代表人授权书及被授权人身份证（法定代表人参加需提供法定代表人资格证明书和身份证）；</w:t>
            </w:r>
          </w:p>
        </w:tc>
        <w:tc>
          <w:tcPr>
            <w:tcW w:type="dxa" w:w="1661"/>
          </w:tcPr>
          <w:p>
            <w:pPr>
              <w:pStyle w:val="null3"/>
            </w:pPr>
            <w:r>
              <w:rPr>
                <w:rFonts w:ascii="仿宋_GB2312" w:hAnsi="仿宋_GB2312" w:cs="仿宋_GB2312" w:eastAsia="仿宋_GB2312"/>
              </w:rPr>
              <w:t>法定代表人授权委托书 响应函 法定代表人资格证明书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提供2023年度或2024年度投标人的财务报告或开标前六个月内其基本账户银行出具的资信证明；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供应商应提供的资格证明文件材料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投标人需提供投标截至日期前6个月内任意一个月的完税凭证或税务机关开具的完税证明（任意税种）；依法免税的应提供相关文件证明；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供应商应提供的资格证明文件材料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服务承诺 响应函 投标人认为需要提供的其它资料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tc>
        <w:tc>
          <w:tcPr>
            <w:tcW w:type="dxa" w:w="1661"/>
          </w:tcPr>
          <w:p>
            <w:pPr>
              <w:pStyle w:val="null3"/>
            </w:pPr>
            <w:r>
              <w:rPr>
                <w:rFonts w:ascii="仿宋_GB2312" w:hAnsi="仿宋_GB2312" w:cs="仿宋_GB2312" w:eastAsia="仿宋_GB2312"/>
              </w:rPr>
              <w:t>投标人参与采购活动的承诺函 供应商应提供的资格证明文件材料 响应函 投标人认为需要提供的其它资料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供应商应提供《陕西省林业有害生物防治资质证书》资质等级丁级及以上资质；</w:t>
            </w:r>
          </w:p>
        </w:tc>
        <w:tc>
          <w:tcPr>
            <w:tcW w:type="dxa" w:w="1661"/>
          </w:tcPr>
          <w:p>
            <w:pPr>
              <w:pStyle w:val="null3"/>
            </w:pPr>
            <w:r>
              <w:rPr>
                <w:rFonts w:ascii="仿宋_GB2312" w:hAnsi="仿宋_GB2312" w:cs="仿宋_GB2312" w:eastAsia="仿宋_GB2312"/>
              </w:rPr>
              <w:t>供应商应提供的资格证明文件材料 响应函 投标人认为需要提供的其它资料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供应商应提供的资格证明文件材料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（2）磋商报 价一览表填写符合要求； （3）计量单位、报价 货币均符合磋商文件要求； （4）未超过采购预 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服务承诺 标的清单 供应商应提供的资格证明文件材料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服务承诺 投标人参与采购活动的承诺函 供应商应提供的资格证明文件材料 响应函 投标人认为需要提供的其它资料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响应文件内容是否齐全，格式是否符合招标文件规定的格式要求；</w:t>
            </w:r>
          </w:p>
        </w:tc>
        <w:tc>
          <w:tcPr>
            <w:tcW w:type="dxa" w:w="1661"/>
          </w:tcPr>
          <w:p>
            <w:pPr>
              <w:pStyle w:val="null3"/>
            </w:pPr>
            <w:r>
              <w:rPr>
                <w:rFonts w:ascii="仿宋_GB2312" w:hAnsi="仿宋_GB2312" w:cs="仿宋_GB2312" w:eastAsia="仿宋_GB2312"/>
              </w:rPr>
              <w:t>响应文件封面 服务承诺 投标人参与采购活动的承诺函 供应商应提供的资格证明文件材料 响应函 投标人认为需要提供的其它资料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（1）供应商的投标总价超过招标预算金额的视为废标，不再参与下一步评审。 （2）评标基准价：所有有效投标报价的最低报价作为评标基准价。 （3）磋商报价得分=（磋商基准价/最终磋商报价）×10的公式计算得分。 符合竞争性磋商文件规定的监狱企业、残疾人企业优惠条件的投标人，价格给予政策扣除，用扣除后的价格参与评审。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项目实施总体方案</w:t>
            </w:r>
          </w:p>
        </w:tc>
        <w:tc>
          <w:tcPr>
            <w:tcW w:type="dxa" w:w="2492"/>
          </w:tcPr>
          <w:p>
            <w:pPr>
              <w:pStyle w:val="null3"/>
            </w:pPr>
            <w:r>
              <w:rPr>
                <w:rFonts w:ascii="仿宋_GB2312" w:hAnsi="仿宋_GB2312" w:cs="仿宋_GB2312" w:eastAsia="仿宋_GB2312"/>
              </w:rPr>
              <w:t>针对本项目提供具体详细的服务方案，总体服务模式科学合理，根据所提供的服务进度计划的安排方案和控制措施是否紧密有效、详尽完善且安排合理，方案完善；按其响应程度计0～55分。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项目实施总体方案</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配备满足本项目各专业要求，根据人员及设备安排的科学性、合理性安排赋分：齐全得5-10分，一般得0-5分。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项目团队人员</w:t>
            </w:r>
          </w:p>
          <w:p>
            <w:pPr>
              <w:pStyle w:val="null3"/>
            </w:pPr>
            <w:r>
              <w:rPr>
                <w:rFonts w:ascii="仿宋_GB2312" w:hAnsi="仿宋_GB2312" w:cs="仿宋_GB2312" w:eastAsia="仿宋_GB2312"/>
              </w:rPr>
              <w:t>设备一览表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提供供应商近三年类似项目合同（以合同签订日期为准），每提供1个得2分，最高得6分。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对本项目有明确的服务承诺和合理化建议并提供服务承诺和保证措施。承诺和保证措施完善、合理、可行，根据投标情况计赋分，优得15-19分，良好得8-15分，一般得0-8分；不合理或无承诺不得分。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服务承诺</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详见附件：法定代表人资格证明书</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详见附件：供应商应提供的资格证明文件材料</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详见附件：项目实施总体方案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详见附件：设备一览表</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详见附件：投标人认为需要提供的其它资料</w:t>
      </w:r>
    </w:p>
    <w:p>
      <w:pPr>
        <w:pStyle w:val="null3"/>
        <w:ind w:firstLine="960"/>
      </w:pPr>
      <w:r>
        <w:rPr>
          <w:rFonts w:ascii="仿宋_GB2312" w:hAnsi="仿宋_GB2312" w:cs="仿宋_GB2312" w:eastAsia="仿宋_GB2312"/>
        </w:rPr>
        <w:t>详见附件：投标人参与采购活动的承诺函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