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BAD57">
      <w:pPr>
        <w:pStyle w:val="4"/>
        <w:numPr>
          <w:ilvl w:val="0"/>
          <w:numId w:val="0"/>
        </w:numPr>
        <w:jc w:val="center"/>
        <w:rPr>
          <w:rFonts w:hint="eastAsia" w:ascii="宋体" w:hAnsi="宋体" w:eastAsia="宋体" w:cs="宋体"/>
          <w:b/>
          <w:bCs/>
          <w:color w:val="auto"/>
          <w:kern w:val="44"/>
          <w:sz w:val="32"/>
          <w:szCs w:val="32"/>
          <w:highlight w:val="none"/>
          <w:lang w:val="en-US" w:eastAsia="zh-CN"/>
        </w:rPr>
      </w:pPr>
      <w:r>
        <w:rPr>
          <w:rFonts w:hint="eastAsia" w:ascii="宋体" w:hAnsi="宋体" w:eastAsia="宋体" w:cs="宋体"/>
          <w:b/>
          <w:bCs/>
          <w:color w:val="auto"/>
          <w:kern w:val="44"/>
          <w:sz w:val="32"/>
          <w:szCs w:val="32"/>
          <w:highlight w:val="none"/>
          <w:lang w:val="en-US" w:eastAsia="zh-CN"/>
        </w:rPr>
        <w:t>采购合同</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6"/>
        <w:gridCol w:w="6746"/>
      </w:tblGrid>
      <w:tr w14:paraId="4C76D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06" w:type="dxa"/>
            <w:tcBorders>
              <w:top w:val="nil"/>
              <w:left w:val="nil"/>
              <w:bottom w:val="nil"/>
              <w:right w:val="nil"/>
            </w:tcBorders>
            <w:noWrap w:val="0"/>
            <w:vAlign w:val="top"/>
          </w:tcPr>
          <w:p w14:paraId="75FE75A0">
            <w:pPr>
              <w:spacing w:line="480" w:lineRule="auto"/>
              <w:jc w:val="both"/>
              <w:rPr>
                <w:rFonts w:hint="eastAsia"/>
                <w:sz w:val="21"/>
                <w:szCs w:val="21"/>
                <w:vertAlign w:val="baseline"/>
                <w:lang w:val="en-US" w:eastAsia="zh-CN"/>
              </w:rPr>
            </w:pPr>
            <w:r>
              <w:rPr>
                <w:rFonts w:hint="eastAsia" w:ascii="宋体" w:hAnsi="宋体" w:eastAsia="宋体" w:cs="宋体"/>
                <w:b/>
                <w:color w:val="auto"/>
                <w:sz w:val="24"/>
                <w:szCs w:val="24"/>
                <w:highlight w:val="none"/>
              </w:rPr>
              <w:t>甲方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采购人）</w:t>
            </w:r>
            <w:r>
              <w:rPr>
                <w:rFonts w:hint="eastAsia" w:ascii="宋体" w:hAnsi="宋体" w:eastAsia="宋体" w:cs="宋体"/>
                <w:b/>
                <w:color w:val="auto"/>
                <w:sz w:val="24"/>
                <w:szCs w:val="24"/>
                <w:highlight w:val="none"/>
              </w:rPr>
              <w:t>：</w:t>
            </w:r>
          </w:p>
        </w:tc>
        <w:tc>
          <w:tcPr>
            <w:tcW w:w="7630" w:type="dxa"/>
            <w:tcBorders>
              <w:top w:val="nil"/>
              <w:left w:val="nil"/>
              <w:bottom w:val="nil"/>
              <w:right w:val="nil"/>
            </w:tcBorders>
            <w:noWrap w:val="0"/>
            <w:vAlign w:val="top"/>
          </w:tcPr>
          <w:p w14:paraId="62E342EA">
            <w:pPr>
              <w:spacing w:line="480" w:lineRule="auto"/>
              <w:jc w:val="both"/>
              <w:rPr>
                <w:rFonts w:hint="default"/>
                <w:sz w:val="21"/>
                <w:szCs w:val="21"/>
                <w:u w:val="single"/>
                <w:vertAlign w:val="baseline"/>
                <w:lang w:val="en-US" w:eastAsia="zh-CN"/>
              </w:rPr>
            </w:pPr>
            <w:r>
              <w:rPr>
                <w:rFonts w:hint="eastAsia"/>
                <w:sz w:val="21"/>
                <w:szCs w:val="21"/>
                <w:u w:val="single"/>
                <w:vertAlign w:val="baseline"/>
                <w:lang w:val="en-US" w:eastAsia="zh-CN"/>
              </w:rPr>
              <w:t xml:space="preserve">                                           </w:t>
            </w:r>
          </w:p>
        </w:tc>
      </w:tr>
      <w:tr w14:paraId="31EA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06" w:type="dxa"/>
            <w:tcBorders>
              <w:top w:val="nil"/>
              <w:left w:val="nil"/>
              <w:bottom w:val="nil"/>
              <w:right w:val="nil"/>
            </w:tcBorders>
            <w:noWrap w:val="0"/>
            <w:vAlign w:val="top"/>
          </w:tcPr>
          <w:p w14:paraId="4149C39F">
            <w:pPr>
              <w:spacing w:line="480" w:lineRule="auto"/>
              <w:jc w:val="both"/>
              <w:rPr>
                <w:rFonts w:hint="eastAsia"/>
                <w:sz w:val="21"/>
                <w:szCs w:val="21"/>
                <w:vertAlign w:val="baseline"/>
                <w:lang w:val="en-US" w:eastAsia="zh-CN"/>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供应商）</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tc>
        <w:tc>
          <w:tcPr>
            <w:tcW w:w="7630" w:type="dxa"/>
            <w:tcBorders>
              <w:top w:val="nil"/>
              <w:left w:val="nil"/>
              <w:bottom w:val="nil"/>
              <w:right w:val="nil"/>
            </w:tcBorders>
            <w:noWrap w:val="0"/>
            <w:vAlign w:val="top"/>
          </w:tcPr>
          <w:p w14:paraId="2F783D60">
            <w:pPr>
              <w:spacing w:line="480" w:lineRule="auto"/>
              <w:jc w:val="both"/>
              <w:rPr>
                <w:rFonts w:hint="eastAsia"/>
                <w:sz w:val="21"/>
                <w:szCs w:val="21"/>
                <w:vertAlign w:val="baseline"/>
                <w:lang w:val="en-US" w:eastAsia="zh-CN"/>
              </w:rPr>
            </w:pPr>
            <w:r>
              <w:rPr>
                <w:rFonts w:hint="eastAsia"/>
                <w:sz w:val="21"/>
                <w:szCs w:val="21"/>
                <w:u w:val="single"/>
                <w:vertAlign w:val="baseline"/>
                <w:lang w:val="en-US" w:eastAsia="zh-CN"/>
              </w:rPr>
              <w:t xml:space="preserve">                                           </w:t>
            </w:r>
          </w:p>
        </w:tc>
      </w:tr>
    </w:tbl>
    <w:p w14:paraId="0AF02BB7">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依据《中华人民共和国政府采购法》《中华人民共和国合同法》等法律、法规规定,按照采购文件规定条款和中标单位承诺,甲乙双方签订本合同。</w:t>
      </w:r>
    </w:p>
    <w:p w14:paraId="3D9FB159">
      <w:pPr>
        <w:spacing w:line="36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一、项目概况</w:t>
      </w:r>
    </w:p>
    <w:p w14:paraId="588D268A">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23722903">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181524E8">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资金来源：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BF823DC">
      <w:pPr>
        <w:spacing w:line="360" w:lineRule="auto"/>
        <w:rPr>
          <w:rFonts w:hint="eastAsia" w:ascii="宋体" w:hAnsi="宋体" w:eastAsia="宋体" w:cs="宋体"/>
          <w:b/>
          <w:bCs w:val="0"/>
          <w:sz w:val="21"/>
          <w:szCs w:val="21"/>
        </w:rPr>
      </w:pPr>
      <w:r>
        <w:rPr>
          <w:rFonts w:hint="eastAsia" w:ascii="宋体" w:hAnsi="宋体" w:eastAsia="宋体" w:cs="宋体"/>
          <w:b/>
          <w:bCs w:val="0"/>
          <w:sz w:val="21"/>
          <w:szCs w:val="21"/>
          <w:lang w:val="en-US" w:eastAsia="zh-CN"/>
        </w:rPr>
        <w:t>二</w:t>
      </w:r>
      <w:r>
        <w:rPr>
          <w:rFonts w:hint="eastAsia" w:ascii="宋体" w:hAnsi="宋体" w:eastAsia="宋体" w:cs="宋体"/>
          <w:b/>
          <w:bCs w:val="0"/>
          <w:sz w:val="21"/>
          <w:szCs w:val="21"/>
        </w:rPr>
        <w:t>、实施内容：</w:t>
      </w:r>
    </w:p>
    <w:p w14:paraId="13D50A0C">
      <w:pPr>
        <w:spacing w:line="360" w:lineRule="auto"/>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本项目建设目标主要有四项：一是在美国白蛾疫情重点防控区域架设美国白蛾诱捕器200台，定人定点监控疑似虫情；二是采取多轮次人工巡查方式监控境内林分有无感染美国白蛾疫情及其他病虫，有效累计普查面积20万亩，及时发布预警信息；三是对病虫危害林分及时采取预防性防治面积2.5万亩。</w:t>
      </w:r>
    </w:p>
    <w:p w14:paraId="7A05B8CD">
      <w:pPr>
        <w:spacing w:line="360" w:lineRule="auto"/>
        <w:ind w:firstLine="4044" w:firstLineChars="1926"/>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实施内容清单</w:t>
      </w:r>
    </w:p>
    <w:tbl>
      <w:tblPr>
        <w:tblStyle w:val="6"/>
        <w:tblW w:w="82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093"/>
        <w:gridCol w:w="3240"/>
        <w:gridCol w:w="2115"/>
      </w:tblGrid>
      <w:tr w14:paraId="2899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815" w:type="dxa"/>
            <w:noWrap w:val="0"/>
            <w:vAlign w:val="center"/>
          </w:tcPr>
          <w:p w14:paraId="1A57B9A1">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2093" w:type="dxa"/>
            <w:noWrap w:val="0"/>
            <w:vAlign w:val="center"/>
          </w:tcPr>
          <w:p w14:paraId="7D4F3816">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项目</w:t>
            </w:r>
          </w:p>
        </w:tc>
        <w:tc>
          <w:tcPr>
            <w:tcW w:w="3240" w:type="dxa"/>
            <w:noWrap w:val="0"/>
            <w:vAlign w:val="center"/>
          </w:tcPr>
          <w:p w14:paraId="740177AB">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建设内容</w:t>
            </w:r>
          </w:p>
        </w:tc>
        <w:tc>
          <w:tcPr>
            <w:tcW w:w="2115" w:type="dxa"/>
            <w:noWrap w:val="0"/>
            <w:vAlign w:val="center"/>
          </w:tcPr>
          <w:p w14:paraId="1760C99C">
            <w:pPr>
              <w:spacing w:line="24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数量</w:t>
            </w:r>
          </w:p>
        </w:tc>
      </w:tr>
      <w:tr w14:paraId="491B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815" w:type="dxa"/>
            <w:noWrap w:val="0"/>
            <w:vAlign w:val="center"/>
          </w:tcPr>
          <w:p w14:paraId="7BE1AF3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093" w:type="dxa"/>
            <w:noWrap w:val="0"/>
            <w:vAlign w:val="center"/>
          </w:tcPr>
          <w:p w14:paraId="4EE1C717">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人工普查</w:t>
            </w:r>
          </w:p>
        </w:tc>
        <w:tc>
          <w:tcPr>
            <w:tcW w:w="3240" w:type="dxa"/>
            <w:noWrap w:val="0"/>
            <w:vAlign w:val="center"/>
          </w:tcPr>
          <w:p w14:paraId="14C52976">
            <w:pPr>
              <w:spacing w:line="30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美国白蛾和疫情监测普查</w:t>
            </w:r>
          </w:p>
        </w:tc>
        <w:tc>
          <w:tcPr>
            <w:tcW w:w="2115" w:type="dxa"/>
            <w:noWrap w:val="0"/>
            <w:vAlign w:val="center"/>
          </w:tcPr>
          <w:p w14:paraId="3CB4C838">
            <w:pPr>
              <w:spacing w:line="240" w:lineRule="auto"/>
              <w:jc w:val="center"/>
              <w:rPr>
                <w:rFonts w:hint="eastAsia" w:ascii="宋体" w:hAnsi="宋体" w:eastAsia="宋体" w:cs="宋体"/>
                <w:kern w:val="0"/>
                <w:sz w:val="21"/>
                <w:szCs w:val="21"/>
              </w:rPr>
            </w:pPr>
            <w:r>
              <w:rPr>
                <w:rFonts w:hint="eastAsia" w:ascii="宋体" w:hAnsi="宋体" w:cs="宋体"/>
                <w:kern w:val="0"/>
                <w:sz w:val="21"/>
                <w:szCs w:val="21"/>
                <w:lang w:val="en-US" w:eastAsia="zh-CN"/>
              </w:rPr>
              <w:t>2</w:t>
            </w:r>
            <w:r>
              <w:rPr>
                <w:rFonts w:hint="eastAsia" w:ascii="宋体" w:hAnsi="宋体" w:eastAsia="宋体" w:cs="宋体"/>
                <w:kern w:val="0"/>
                <w:sz w:val="21"/>
                <w:szCs w:val="21"/>
              </w:rPr>
              <w:t>0万亩</w:t>
            </w:r>
          </w:p>
        </w:tc>
      </w:tr>
      <w:tr w14:paraId="4C65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815" w:type="dxa"/>
            <w:noWrap w:val="0"/>
            <w:vAlign w:val="center"/>
          </w:tcPr>
          <w:p w14:paraId="34D29FD0">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093" w:type="dxa"/>
            <w:noWrap w:val="0"/>
            <w:vAlign w:val="center"/>
          </w:tcPr>
          <w:p w14:paraId="39095104">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诱捕器监测</w:t>
            </w:r>
          </w:p>
        </w:tc>
        <w:tc>
          <w:tcPr>
            <w:tcW w:w="3240" w:type="dxa"/>
            <w:noWrap w:val="0"/>
            <w:vAlign w:val="center"/>
          </w:tcPr>
          <w:p w14:paraId="33A85CAE">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美国白蛾诱捕器</w:t>
            </w:r>
          </w:p>
        </w:tc>
        <w:tc>
          <w:tcPr>
            <w:tcW w:w="2115" w:type="dxa"/>
            <w:noWrap w:val="0"/>
            <w:vAlign w:val="center"/>
          </w:tcPr>
          <w:p w14:paraId="2AF84B83">
            <w:pPr>
              <w:spacing w:line="240" w:lineRule="auto"/>
              <w:jc w:val="center"/>
              <w:rPr>
                <w:rFonts w:hint="eastAsia" w:ascii="宋体" w:hAnsi="宋体" w:eastAsia="宋体" w:cs="宋体"/>
                <w:kern w:val="0"/>
                <w:sz w:val="21"/>
                <w:szCs w:val="21"/>
              </w:rPr>
            </w:pPr>
            <w:r>
              <w:rPr>
                <w:rFonts w:hint="eastAsia" w:ascii="宋体" w:hAnsi="宋体" w:cs="宋体"/>
                <w:kern w:val="0"/>
                <w:sz w:val="21"/>
                <w:szCs w:val="21"/>
                <w:lang w:val="en-US" w:eastAsia="zh-CN"/>
              </w:rPr>
              <w:t>2</w:t>
            </w:r>
            <w:r>
              <w:rPr>
                <w:rFonts w:hint="eastAsia" w:ascii="宋体" w:hAnsi="宋体" w:eastAsia="宋体" w:cs="宋体"/>
                <w:kern w:val="0"/>
                <w:sz w:val="21"/>
                <w:szCs w:val="21"/>
              </w:rPr>
              <w:t>00台</w:t>
            </w:r>
          </w:p>
        </w:tc>
      </w:tr>
      <w:tr w14:paraId="7A2CA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815" w:type="dxa"/>
            <w:noWrap w:val="0"/>
            <w:vAlign w:val="center"/>
          </w:tcPr>
          <w:p w14:paraId="0E1E5545">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093" w:type="dxa"/>
            <w:noWrap w:val="0"/>
            <w:vAlign w:val="center"/>
          </w:tcPr>
          <w:p w14:paraId="1E0FDDEC">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药剂防治</w:t>
            </w:r>
          </w:p>
        </w:tc>
        <w:tc>
          <w:tcPr>
            <w:tcW w:w="3240" w:type="dxa"/>
            <w:noWrap w:val="0"/>
            <w:vAlign w:val="center"/>
          </w:tcPr>
          <w:p w14:paraId="2C5A55E6">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喷雾措施防治</w:t>
            </w:r>
          </w:p>
        </w:tc>
        <w:tc>
          <w:tcPr>
            <w:tcW w:w="2115" w:type="dxa"/>
            <w:noWrap w:val="0"/>
            <w:vAlign w:val="center"/>
          </w:tcPr>
          <w:p w14:paraId="4D955EA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r>
              <w:rPr>
                <w:rFonts w:hint="eastAsia" w:ascii="宋体" w:hAnsi="宋体" w:cs="宋体"/>
                <w:kern w:val="0"/>
                <w:sz w:val="21"/>
                <w:szCs w:val="21"/>
                <w:lang w:val="en-US" w:eastAsia="zh-CN"/>
              </w:rPr>
              <w:t>.5</w:t>
            </w:r>
            <w:r>
              <w:rPr>
                <w:rFonts w:hint="eastAsia" w:ascii="宋体" w:hAnsi="宋体" w:eastAsia="宋体" w:cs="宋体"/>
                <w:kern w:val="0"/>
                <w:sz w:val="21"/>
                <w:szCs w:val="21"/>
              </w:rPr>
              <w:t>万亩</w:t>
            </w:r>
          </w:p>
        </w:tc>
      </w:tr>
    </w:tbl>
    <w:p w14:paraId="3628136D">
      <w:pPr>
        <w:pStyle w:val="3"/>
        <w:ind w:left="0" w:leftChars="0" w:firstLine="0" w:firstLineChars="0"/>
        <w:rPr>
          <w:rFonts w:hint="eastAsia"/>
        </w:rPr>
      </w:pPr>
    </w:p>
    <w:p w14:paraId="1D69F027">
      <w:pPr>
        <w:spacing w:line="360" w:lineRule="auto"/>
        <w:rPr>
          <w:rFonts w:hint="eastAsia" w:ascii="宋体" w:hAnsi="宋体" w:eastAsia="宋体" w:cs="宋体"/>
          <w:b/>
          <w:bCs/>
          <w:sz w:val="21"/>
          <w:szCs w:val="21"/>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、主要技术措施：</w:t>
      </w:r>
    </w:p>
    <w:p w14:paraId="1A114A86">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项目实施主要措施有：</w:t>
      </w:r>
    </w:p>
    <w:p w14:paraId="7F9BCB7A">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1、架设诱捕器开展虫情监测：</w:t>
      </w:r>
    </w:p>
    <w:p w14:paraId="0A27B6C9">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在林草有害生物监测主要风险区域，沿主要骨干道路、林带架设美国白蛾诱捕器200台监测美国白蛾虫情，在其他林草有害生物常发乡镇设置监测点，实行定人定点观测虫情，及时上报，为预测虫情提供依据。需要进一步鉴定确认的采样及时报送县局检验甄别，按照林业有害生物防控技术规程指导做好应急处置，并以此为中心向周围林区做好排查工作。</w:t>
      </w:r>
    </w:p>
    <w:p w14:paraId="119AAA3A">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2、开展人工排查：</w:t>
      </w:r>
    </w:p>
    <w:p w14:paraId="3353A9CE">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以林草有害生物监测风险区和风险点为中心，对周边镇村林分、苗圃进行踏查排除，重点防控区域范围内的行道树、片林、房前屋后树木、苗圃要每隔3-5天全面排查。一般防控区域10-15天排查一次。普查主要以踏查为主，观察树上有无幼虫危害时形成的网幕，叶片有无啃食过的网膜状痕迹，查看树冠枝条端部或近端部叶片背面是否有卵块，树干、墙壁、电杆、草本植物及附近物体上是否有成虫，累计有效普查面积20万亩。</w:t>
      </w:r>
    </w:p>
    <w:p w14:paraId="2BE7DE34">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3、其他林草有害生物监测：</w:t>
      </w:r>
    </w:p>
    <w:p w14:paraId="3FB0EA80">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在我县长发的林草有害生物主要包括黄刺蛾、国槐尺蠖、杨小舟蛾、杨扇舟蛾、金龟子等虫害，虫情监测工作通过人员巡查和设点调查结合进行。在尚村、终南、四屯、广济、翠峰等重点区域建立虫情监测点，收集害虫、记录和报送数据，为研判各类虫情和适时防治提供依据。</w:t>
      </w:r>
    </w:p>
    <w:p w14:paraId="6A3E54A4">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4、开展虫情灾害损失预防性防治：</w:t>
      </w:r>
    </w:p>
    <w:p w14:paraId="29411472">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结合林草有害生物监测结果，积极开展寄主林分虫情针对性预防性防治，主要防治区域为可能发生美国白蛾疫情的风险区域及周边林分，对我县农林业生产造成较大生物灾害损失的黄刺蛾、金龟子、国槐尺蠖等虫情分布区域。根据林分实际开展高压喷雾防治、无人机防治等形式，累计防治面积为2.5万亩。</w:t>
      </w:r>
    </w:p>
    <w:p w14:paraId="73476E69">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5、合理使用无公害药剂，多种方式互补防治：</w:t>
      </w:r>
    </w:p>
    <w:p w14:paraId="57C111C4">
      <w:pPr>
        <w:spacing w:line="360" w:lineRule="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对可能发生美国白蛾疫情或严重虫灾损失的道路两侧、林带、片林、房前屋后等范围开展预防性药剂防治，药剂使用综合考虑林分密度、天气因素、人为活动范围等。药剂选择要十分注意对生态环境的影响和安全性，主要选择仿生、生物药剂和植物性杀虫剂，禁止使用国家限制使用的高毒、高残留农药，落实好安全用药规定和防治人员安全措施，做好喷药区域人员、禽畜的防范工作。</w:t>
      </w:r>
    </w:p>
    <w:p w14:paraId="4F498594">
      <w:pPr>
        <w:spacing w:line="360" w:lineRule="auto"/>
        <w:rPr>
          <w:rFonts w:hint="eastAsia" w:ascii="宋体" w:hAnsi="宋体" w:eastAsia="宋体" w:cs="宋体"/>
          <w:b/>
          <w:bCs w:val="0"/>
          <w:sz w:val="21"/>
          <w:szCs w:val="21"/>
        </w:rPr>
      </w:pPr>
      <w:r>
        <w:rPr>
          <w:rFonts w:hint="eastAsia" w:ascii="宋体" w:hAnsi="宋体" w:eastAsia="宋体" w:cs="宋体"/>
          <w:b/>
          <w:bCs w:val="0"/>
          <w:sz w:val="21"/>
          <w:szCs w:val="21"/>
          <w:lang w:val="en-US" w:eastAsia="zh-CN"/>
        </w:rPr>
        <w:t>四</w:t>
      </w:r>
      <w:r>
        <w:rPr>
          <w:rFonts w:hint="eastAsia" w:ascii="宋体" w:hAnsi="宋体" w:eastAsia="宋体" w:cs="宋体"/>
          <w:b/>
          <w:bCs w:val="0"/>
          <w:sz w:val="21"/>
          <w:szCs w:val="21"/>
        </w:rPr>
        <w:t>、保障措施：</w:t>
      </w:r>
    </w:p>
    <w:p w14:paraId="4D49CE33">
      <w:pPr>
        <w:numPr>
          <w:ilvl w:val="0"/>
          <w:numId w:val="0"/>
        </w:numPr>
        <w:spacing w:line="360" w:lineRule="auto"/>
        <w:ind w:left="0"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加强项目监管，成立项目建设领导小组，负责做好项目实施目标完成情况监督管理、实施过程管理和防控效果管理，做好项目实施建设环节资料收集、整理和上报，随时接受上级主管部门的指导、检查、监督。</w:t>
      </w:r>
    </w:p>
    <w:p w14:paraId="43B8520C">
      <w:pPr>
        <w:numPr>
          <w:ilvl w:val="0"/>
          <w:numId w:val="0"/>
        </w:numPr>
        <w:spacing w:line="360" w:lineRule="auto"/>
        <w:ind w:left="0"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项目建设采取竞标形式，由有资质的防治公司采取技术承包，全面负责林草有害生物日常监测、普查和预防性防治日常工作，并提供资金由森防站对普查工作人员进行技术培训，明确虫情监测普查具体要求和防治目标，协调技术人员跟踪技术指导普查工作，力求普查不漏死角，第一时间发现虫情，及时得到处理，确保虫情防控工作有序开展。</w:t>
      </w:r>
    </w:p>
    <w:p w14:paraId="3D47CDB7">
      <w:pPr>
        <w:numPr>
          <w:ilvl w:val="0"/>
          <w:numId w:val="0"/>
        </w:numPr>
        <w:spacing w:line="360" w:lineRule="auto"/>
        <w:ind w:left="0"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3、加强项目资金管理，坚持专款专用，确保发挥项目资金效益。</w:t>
      </w:r>
    </w:p>
    <w:p w14:paraId="4D49D0F0">
      <w:pPr>
        <w:numPr>
          <w:ilvl w:val="0"/>
          <w:numId w:val="0"/>
        </w:numPr>
        <w:spacing w:line="360" w:lineRule="auto"/>
        <w:ind w:left="0"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4、建立普查防控工作档案，完善虫情汇总和建档，做好图片、音像、文字等项目实施资料收集，力求全面、真实，为项目建设领导小组掌控项目实施情况提供依据。</w:t>
      </w:r>
    </w:p>
    <w:p w14:paraId="735D1219">
      <w:pPr>
        <w:numPr>
          <w:ilvl w:val="0"/>
          <w:numId w:val="0"/>
        </w:numPr>
        <w:spacing w:line="360" w:lineRule="auto"/>
        <w:ind w:left="0" w:leftChars="0"/>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sz w:val="24"/>
          <w:szCs w:val="24"/>
          <w:lang w:eastAsia="zh-CN"/>
        </w:rPr>
        <w:t>、</w:t>
      </w:r>
      <w:r>
        <w:rPr>
          <w:rFonts w:hint="eastAsia" w:ascii="宋体" w:hAnsi="宋体" w:eastAsia="宋体" w:cs="宋体"/>
          <w:b/>
          <w:sz w:val="24"/>
          <w:szCs w:val="24"/>
        </w:rPr>
        <w:t>违约责任</w:t>
      </w:r>
      <w:r>
        <w:rPr>
          <w:rFonts w:hint="eastAsia" w:ascii="宋体" w:hAnsi="宋体" w:eastAsia="宋体" w:cs="宋体"/>
          <w:b/>
          <w:bCs w:val="0"/>
          <w:sz w:val="24"/>
          <w:szCs w:val="24"/>
        </w:rPr>
        <w:t>：</w:t>
      </w:r>
    </w:p>
    <w:p w14:paraId="1BFB9DB1">
      <w:pPr>
        <w:numPr>
          <w:ilvl w:val="0"/>
          <w:numId w:val="0"/>
        </w:num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1、按《民法典》中的相关条款执行。</w:t>
      </w:r>
    </w:p>
    <w:p w14:paraId="28F3FF3D">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供应商未按合同要求提供货物或服务质量不能满足技术要求，应按照采购人要求无条件重新提供相关服务并满足采购人需求，因此产生的费用均由供应商承担；否则，采购人有权解除本合同，解除本合同书面通知书到达供应商之日视为本合同已解除，并按以下两种方式追究供应商责任：</w:t>
      </w:r>
    </w:p>
    <w:p w14:paraId="56789755">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（1）供应商赔偿采购人解除本合同的全部损失（包括但不限于重新采购产生的费用）；</w:t>
      </w:r>
    </w:p>
    <w:p w14:paraId="6E6015E9">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供应商支付采购人违约金。违约金计算方式：以本合同总价为基数，支付采购人合同总价的30%违约金，并对供应商的违约行为报监管机构进行相应的处罚，违约金不足以弥补因此给采购人造成的损失的，供应商应予以补足。</w:t>
      </w:r>
    </w:p>
    <w:p w14:paraId="024354B1">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（3）供应商应做好相关防护工作，供应商履行本合同造成的任何损害均自行承担。</w:t>
      </w:r>
    </w:p>
    <w:p w14:paraId="2AF3F6E0">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（4）供应商不得将项目转让、分包给其他单位或个人，供应商的投标文件和承诺等内容将列入本合同。</w:t>
      </w:r>
    </w:p>
    <w:p w14:paraId="3583CA71">
      <w:pPr>
        <w:numPr>
          <w:ilvl w:val="0"/>
          <w:numId w:val="0"/>
        </w:numPr>
        <w:tabs>
          <w:tab w:val="left" w:pos="498"/>
        </w:tabs>
        <w:spacing w:line="360" w:lineRule="auto"/>
        <w:ind w:left="0" w:leftChars="0" w:firstLine="0" w:firstLineChars="0"/>
        <w:jc w:val="left"/>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bCs w:val="0"/>
          <w:sz w:val="24"/>
          <w:szCs w:val="24"/>
        </w:rPr>
        <w:t>、</w:t>
      </w:r>
      <w:r>
        <w:rPr>
          <w:rFonts w:hint="eastAsia" w:ascii="宋体" w:hAnsi="宋体" w:eastAsia="宋体" w:cs="宋体"/>
          <w:b/>
          <w:sz w:val="24"/>
          <w:szCs w:val="24"/>
        </w:rPr>
        <w:t>合同争议的解决：</w:t>
      </w:r>
    </w:p>
    <w:p w14:paraId="643E7D7F">
      <w:pPr>
        <w:numPr>
          <w:ilvl w:val="0"/>
          <w:numId w:val="0"/>
        </w:numPr>
        <w:tabs>
          <w:tab w:val="left" w:pos="498"/>
        </w:tabs>
        <w:spacing w:line="360" w:lineRule="auto"/>
        <w:ind w:left="0" w:leftChars="0" w:firstLine="420" w:firstLineChars="200"/>
        <w:jc w:val="left"/>
        <w:rPr>
          <w:rFonts w:hint="eastAsia" w:ascii="宋体" w:hAnsi="宋体" w:eastAsia="宋体" w:cs="宋体"/>
          <w:sz w:val="21"/>
          <w:szCs w:val="18"/>
        </w:rPr>
      </w:pPr>
      <w:r>
        <w:rPr>
          <w:rFonts w:hint="eastAsia" w:ascii="宋体" w:hAnsi="宋体" w:eastAsia="宋体" w:cs="宋体"/>
          <w:sz w:val="21"/>
          <w:szCs w:val="18"/>
        </w:rPr>
        <w:t>合同执行中发生争议的，当事人双方应协商解决，协商达不成一致时，可向采购人所在地人民法院提请诉讼。</w:t>
      </w:r>
    </w:p>
    <w:p w14:paraId="35F92F1C">
      <w:pPr>
        <w:tabs>
          <w:tab w:val="left" w:pos="498"/>
        </w:tabs>
        <w:spacing w:line="360" w:lineRule="auto"/>
        <w:ind w:left="480" w:hanging="482" w:hangingChars="200"/>
        <w:jc w:val="left"/>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六</w:t>
      </w:r>
      <w:r>
        <w:rPr>
          <w:rFonts w:hint="eastAsia" w:ascii="宋体" w:hAnsi="宋体" w:eastAsia="宋体" w:cs="宋体"/>
          <w:b/>
          <w:bCs w:val="0"/>
          <w:sz w:val="24"/>
          <w:szCs w:val="24"/>
        </w:rPr>
        <w:t>、不可抗力情况下的免责约定</w:t>
      </w:r>
      <w:r>
        <w:rPr>
          <w:rFonts w:hint="eastAsia" w:ascii="宋体" w:hAnsi="宋体" w:eastAsia="宋体" w:cs="宋体"/>
          <w:b/>
          <w:bCs w:val="0"/>
          <w:sz w:val="24"/>
          <w:szCs w:val="24"/>
          <w:lang w:eastAsia="zh-CN"/>
        </w:rPr>
        <w:t>：</w:t>
      </w:r>
    </w:p>
    <w:p w14:paraId="13B10B4D">
      <w:pPr>
        <w:tabs>
          <w:tab w:val="left" w:pos="498"/>
        </w:tabs>
        <w:spacing w:line="360" w:lineRule="auto"/>
        <w:ind w:left="480" w:hanging="420" w:hangingChars="200"/>
        <w:jc w:val="left"/>
        <w:rPr>
          <w:rFonts w:hint="eastAsia" w:ascii="宋体" w:hAnsi="宋体" w:eastAsia="宋体" w:cs="宋体"/>
          <w:sz w:val="24"/>
          <w:szCs w:val="24"/>
        </w:rPr>
      </w:pPr>
      <w:r>
        <w:rPr>
          <w:rFonts w:hint="eastAsia" w:ascii="宋体" w:hAnsi="宋体" w:eastAsia="宋体" w:cs="宋体"/>
          <w:sz w:val="21"/>
          <w:szCs w:val="18"/>
        </w:rPr>
        <w:t>不可抗力情况下的免责约定，双方约定不可抗力情况包括：五级以上地震、大风、大雨、大雪。</w:t>
      </w:r>
    </w:p>
    <w:p w14:paraId="3A8EBD64">
      <w:pPr>
        <w:tabs>
          <w:tab w:val="left" w:pos="498"/>
        </w:tabs>
        <w:spacing w:line="360" w:lineRule="auto"/>
        <w:jc w:val="left"/>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、合同执行中发生争议</w:t>
      </w:r>
      <w:r>
        <w:rPr>
          <w:rFonts w:hint="eastAsia" w:ascii="宋体" w:hAnsi="宋体" w:eastAsia="宋体" w:cs="宋体"/>
          <w:b/>
          <w:bCs w:val="0"/>
          <w:sz w:val="24"/>
          <w:szCs w:val="24"/>
          <w:lang w:eastAsia="zh-CN"/>
        </w:rPr>
        <w:t>：</w:t>
      </w:r>
    </w:p>
    <w:p w14:paraId="5B159172">
      <w:pPr>
        <w:tabs>
          <w:tab w:val="left" w:pos="498"/>
        </w:tabs>
        <w:spacing w:line="360" w:lineRule="auto"/>
        <w:ind w:firstLine="420" w:firstLineChars="200"/>
        <w:jc w:val="left"/>
        <w:rPr>
          <w:rFonts w:hint="eastAsia" w:ascii="宋体" w:hAnsi="宋体" w:eastAsia="宋体" w:cs="宋体"/>
          <w:b w:val="0"/>
          <w:sz w:val="21"/>
          <w:szCs w:val="18"/>
        </w:rPr>
      </w:pPr>
      <w:r>
        <w:rPr>
          <w:rFonts w:hint="eastAsia" w:ascii="宋体" w:hAnsi="宋体" w:eastAsia="宋体" w:cs="宋体"/>
          <w:sz w:val="21"/>
          <w:szCs w:val="18"/>
        </w:rPr>
        <w:t xml:space="preserve">合同执行中发生争议的，当事人双方应协商解决，协商达不成一致时，双方同意向西安市仲裁委员会申请仲裁。   </w:t>
      </w:r>
    </w:p>
    <w:p w14:paraId="6FA677C9">
      <w:pPr>
        <w:spacing w:line="360" w:lineRule="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w:t>
      </w:r>
      <w:r>
        <w:rPr>
          <w:rFonts w:hint="eastAsia" w:ascii="宋体" w:hAnsi="宋体" w:eastAsia="宋体" w:cs="宋体"/>
          <w:b/>
          <w:bCs w:val="0"/>
          <w:sz w:val="24"/>
          <w:szCs w:val="24"/>
        </w:rPr>
        <w:t>、合同</w:t>
      </w:r>
      <w:r>
        <w:rPr>
          <w:rFonts w:hint="eastAsia" w:ascii="宋体" w:hAnsi="宋体" w:eastAsia="宋体" w:cs="宋体"/>
          <w:b/>
          <w:bCs w:val="0"/>
          <w:sz w:val="24"/>
          <w:szCs w:val="24"/>
          <w:lang w:val="en-US" w:eastAsia="zh-CN"/>
        </w:rPr>
        <w:t>变更</w:t>
      </w:r>
      <w:r>
        <w:rPr>
          <w:rFonts w:hint="eastAsia" w:ascii="宋体" w:hAnsi="宋体" w:eastAsia="宋体" w:cs="宋体"/>
          <w:b/>
          <w:bCs w:val="0"/>
          <w:sz w:val="24"/>
          <w:szCs w:val="24"/>
          <w:lang w:eastAsia="zh-CN"/>
        </w:rPr>
        <w:t>：</w:t>
      </w:r>
    </w:p>
    <w:p w14:paraId="4BC816E1">
      <w:pPr>
        <w:tabs>
          <w:tab w:val="left" w:pos="498"/>
        </w:tabs>
        <w:spacing w:line="360" w:lineRule="auto"/>
        <w:ind w:firstLine="420" w:firstLineChars="200"/>
        <w:rPr>
          <w:rFonts w:hint="eastAsia" w:ascii="宋体" w:hAnsi="宋体" w:eastAsia="宋体" w:cs="宋体"/>
          <w:sz w:val="21"/>
          <w:szCs w:val="18"/>
        </w:rPr>
      </w:pPr>
      <w:r>
        <w:rPr>
          <w:rFonts w:hint="eastAsia" w:ascii="宋体" w:hAnsi="宋体" w:eastAsia="宋体" w:cs="宋体"/>
          <w:sz w:val="21"/>
          <w:szCs w:val="18"/>
        </w:rPr>
        <w:t>除本合同约定，合同一经签订，不得擅自变更、中止或者终止合同。对确需变更、调整或者中止、终止合同的，应按规定履行相应的手续。</w:t>
      </w:r>
    </w:p>
    <w:p w14:paraId="0B33F2B1">
      <w:pPr>
        <w:spacing w:line="360" w:lineRule="auto"/>
        <w:ind w:left="482" w:hanging="482" w:hanging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、其他</w:t>
      </w:r>
      <w:r>
        <w:rPr>
          <w:rFonts w:hint="eastAsia" w:ascii="宋体" w:hAnsi="宋体" w:eastAsia="宋体" w:cs="宋体"/>
          <w:b/>
          <w:sz w:val="24"/>
          <w:szCs w:val="24"/>
          <w:lang w:val="en-US" w:eastAsia="zh-CN"/>
        </w:rPr>
        <w:t>:</w:t>
      </w:r>
    </w:p>
    <w:p w14:paraId="114A03A0">
      <w:pPr>
        <w:spacing w:line="360" w:lineRule="auto"/>
        <w:ind w:left="482" w:hanging="420" w:hangingChars="200"/>
        <w:rPr>
          <w:rFonts w:hint="eastAsia" w:ascii="宋体" w:hAnsi="宋体" w:eastAsia="宋体" w:cs="宋体"/>
          <w:b/>
          <w:sz w:val="24"/>
          <w:szCs w:val="24"/>
          <w:lang w:val="en-US" w:eastAsia="zh-CN"/>
        </w:rPr>
      </w:pPr>
      <w:r>
        <w:rPr>
          <w:rFonts w:hint="eastAsia" w:ascii="宋体" w:hAnsi="宋体" w:eastAsia="宋体" w:cs="宋体"/>
          <w:color w:val="auto"/>
          <w:sz w:val="21"/>
          <w:szCs w:val="21"/>
          <w:highlight w:val="none"/>
          <w:u w:val="single"/>
        </w:rPr>
        <w:t xml:space="preserve">                                   </w:t>
      </w:r>
    </w:p>
    <w:p w14:paraId="5639EF90">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、项目费用结算:</w:t>
      </w:r>
    </w:p>
    <w:p w14:paraId="4731FD1D">
      <w:pPr>
        <w:tabs>
          <w:tab w:val="left" w:pos="498"/>
        </w:tabs>
        <w:spacing w:line="360" w:lineRule="auto"/>
        <w:ind w:firstLine="420" w:firstLineChars="200"/>
        <w:rPr>
          <w:rFonts w:hint="eastAsia" w:ascii="宋体" w:hAnsi="宋体" w:eastAsia="宋体" w:cs="宋体"/>
          <w:sz w:val="21"/>
          <w:szCs w:val="18"/>
          <w:highlight w:val="none"/>
        </w:rPr>
      </w:pPr>
      <w:r>
        <w:rPr>
          <w:rFonts w:hint="eastAsia" w:ascii="宋体" w:hAnsi="宋体" w:eastAsia="宋体" w:cs="宋体"/>
          <w:sz w:val="21"/>
          <w:szCs w:val="18"/>
          <w:highlight w:val="none"/>
        </w:rPr>
        <w:t>项目总计费用为人民币</w:t>
      </w:r>
      <w:r>
        <w:rPr>
          <w:rFonts w:hint="eastAsia" w:ascii="宋体" w:hAnsi="宋体" w:eastAsia="宋体" w:cs="宋体"/>
          <w:sz w:val="21"/>
          <w:szCs w:val="18"/>
          <w:highlight w:val="none"/>
          <w:u w:val="single"/>
        </w:rPr>
        <w:t xml:space="preserve">       </w:t>
      </w:r>
      <w:r>
        <w:rPr>
          <w:rFonts w:hint="eastAsia" w:ascii="宋体" w:hAnsi="宋体" w:eastAsia="宋体" w:cs="宋体"/>
          <w:sz w:val="21"/>
          <w:szCs w:val="18"/>
          <w:highlight w:val="none"/>
        </w:rPr>
        <w:t>元，大写</w:t>
      </w:r>
      <w:r>
        <w:rPr>
          <w:rFonts w:hint="eastAsia" w:ascii="宋体" w:hAnsi="宋体" w:eastAsia="宋体" w:cs="宋体"/>
          <w:sz w:val="21"/>
          <w:szCs w:val="18"/>
          <w:highlight w:val="none"/>
          <w:u w:val="single"/>
        </w:rPr>
        <w:t xml:space="preserve">      </w:t>
      </w:r>
      <w:r>
        <w:rPr>
          <w:rFonts w:hint="eastAsia" w:ascii="宋体" w:hAnsi="宋体" w:eastAsia="宋体" w:cs="宋体"/>
          <w:sz w:val="21"/>
          <w:szCs w:val="18"/>
          <w:highlight w:val="none"/>
        </w:rPr>
        <w:t>元整。</w:t>
      </w:r>
    </w:p>
    <w:p w14:paraId="54040240">
      <w:pPr>
        <w:tabs>
          <w:tab w:val="left" w:pos="498"/>
        </w:tabs>
        <w:spacing w:line="360" w:lineRule="auto"/>
        <w:ind w:firstLine="420" w:firstLineChars="200"/>
        <w:rPr>
          <w:rFonts w:hint="eastAsia" w:ascii="宋体" w:hAnsi="宋体" w:eastAsia="宋体" w:cs="宋体"/>
          <w:color w:val="auto"/>
          <w:sz w:val="21"/>
          <w:szCs w:val="18"/>
          <w:highlight w:val="none"/>
        </w:rPr>
      </w:pPr>
      <w:r>
        <w:rPr>
          <w:rFonts w:hint="eastAsia" w:ascii="宋体" w:hAnsi="宋体" w:eastAsia="宋体" w:cs="宋体"/>
          <w:color w:val="auto"/>
          <w:kern w:val="2"/>
          <w:sz w:val="21"/>
          <w:szCs w:val="18"/>
          <w:highlight w:val="none"/>
        </w:rPr>
        <w:t>项目实施结束后，乙方报请甲方验收，并经主管部门验收合格后，在甲方处办理百分之九十</w:t>
      </w:r>
      <w:r>
        <w:rPr>
          <w:rFonts w:hint="eastAsia" w:ascii="宋体" w:hAnsi="宋体" w:eastAsia="宋体" w:cs="宋体"/>
          <w:color w:val="auto"/>
          <w:kern w:val="2"/>
          <w:sz w:val="21"/>
          <w:szCs w:val="18"/>
          <w:highlight w:val="none"/>
          <w:lang w:val="en-US" w:eastAsia="zh-CN"/>
        </w:rPr>
        <w:t>五</w:t>
      </w:r>
      <w:r>
        <w:rPr>
          <w:rFonts w:hint="eastAsia" w:ascii="宋体" w:hAnsi="宋体" w:eastAsia="宋体" w:cs="宋体"/>
          <w:color w:val="auto"/>
          <w:sz w:val="21"/>
          <w:szCs w:val="18"/>
          <w:highlight w:val="none"/>
        </w:rPr>
        <w:t>（9</w:t>
      </w:r>
      <w:r>
        <w:rPr>
          <w:rFonts w:hint="eastAsia" w:ascii="宋体" w:hAnsi="宋体" w:eastAsia="宋体" w:cs="宋体"/>
          <w:color w:val="auto"/>
          <w:sz w:val="21"/>
          <w:szCs w:val="18"/>
          <w:highlight w:val="none"/>
          <w:lang w:val="en-US" w:eastAsia="zh-CN"/>
        </w:rPr>
        <w:t>5</w:t>
      </w:r>
      <w:r>
        <w:rPr>
          <w:rFonts w:hint="eastAsia" w:ascii="宋体" w:hAnsi="宋体" w:eastAsia="宋体" w:cs="宋体"/>
          <w:color w:val="auto"/>
          <w:sz w:val="21"/>
          <w:szCs w:val="18"/>
          <w:highlight w:val="none"/>
        </w:rPr>
        <w:t>%）工程款的支付手续；剩余合同总金额百分之</w:t>
      </w:r>
      <w:r>
        <w:rPr>
          <w:rFonts w:hint="eastAsia" w:ascii="宋体" w:hAnsi="宋体" w:eastAsia="宋体" w:cs="宋体"/>
          <w:color w:val="auto"/>
          <w:sz w:val="21"/>
          <w:szCs w:val="18"/>
          <w:highlight w:val="none"/>
          <w:lang w:val="en-US" w:eastAsia="zh-CN"/>
        </w:rPr>
        <w:t>五</w:t>
      </w:r>
      <w:r>
        <w:rPr>
          <w:rFonts w:hint="eastAsia" w:ascii="宋体" w:hAnsi="宋体" w:eastAsia="宋体" w:cs="宋体"/>
          <w:color w:val="auto"/>
          <w:sz w:val="21"/>
          <w:szCs w:val="18"/>
          <w:highlight w:val="none"/>
        </w:rPr>
        <w:t>（</w:t>
      </w:r>
      <w:r>
        <w:rPr>
          <w:rFonts w:hint="eastAsia" w:ascii="宋体" w:hAnsi="宋体" w:eastAsia="宋体" w:cs="宋体"/>
          <w:color w:val="auto"/>
          <w:sz w:val="21"/>
          <w:szCs w:val="18"/>
          <w:highlight w:val="none"/>
          <w:lang w:val="en-US" w:eastAsia="zh-CN"/>
        </w:rPr>
        <w:t>5</w:t>
      </w:r>
      <w:r>
        <w:rPr>
          <w:rFonts w:hint="eastAsia" w:ascii="宋体" w:hAnsi="宋体" w:eastAsia="宋体" w:cs="宋体"/>
          <w:color w:val="auto"/>
          <w:sz w:val="21"/>
          <w:szCs w:val="18"/>
          <w:highlight w:val="none"/>
        </w:rPr>
        <w:t>%）作为质保金，自终验结束之日起</w:t>
      </w:r>
      <w:r>
        <w:rPr>
          <w:rFonts w:hint="eastAsia" w:ascii="宋体" w:hAnsi="宋体" w:cs="宋体"/>
          <w:color w:val="auto"/>
          <w:sz w:val="21"/>
          <w:szCs w:val="18"/>
          <w:highlight w:val="none"/>
          <w:lang w:val="en-US" w:eastAsia="zh-CN"/>
        </w:rPr>
        <w:t>6</w:t>
      </w:r>
      <w:bookmarkStart w:id="0" w:name="_GoBack"/>
      <w:bookmarkEnd w:id="0"/>
      <w:r>
        <w:rPr>
          <w:rFonts w:hint="eastAsia" w:ascii="宋体" w:hAnsi="宋体" w:eastAsia="宋体" w:cs="宋体"/>
          <w:color w:val="auto"/>
          <w:sz w:val="21"/>
          <w:szCs w:val="18"/>
          <w:highlight w:val="none"/>
        </w:rPr>
        <w:t>个月内，在无索赔争议的情况下，在甲方处办理百分之</w:t>
      </w:r>
      <w:r>
        <w:rPr>
          <w:rFonts w:hint="eastAsia" w:ascii="宋体" w:hAnsi="宋体" w:eastAsia="宋体" w:cs="宋体"/>
          <w:color w:val="auto"/>
          <w:sz w:val="21"/>
          <w:szCs w:val="18"/>
          <w:highlight w:val="none"/>
          <w:lang w:val="en-US" w:eastAsia="zh-CN"/>
        </w:rPr>
        <w:t>五</w:t>
      </w:r>
      <w:r>
        <w:rPr>
          <w:rFonts w:hint="eastAsia" w:ascii="宋体" w:hAnsi="宋体" w:eastAsia="宋体" w:cs="宋体"/>
          <w:color w:val="auto"/>
          <w:sz w:val="21"/>
          <w:szCs w:val="18"/>
          <w:highlight w:val="none"/>
        </w:rPr>
        <w:t>（</w:t>
      </w:r>
      <w:r>
        <w:rPr>
          <w:rFonts w:hint="eastAsia" w:ascii="宋体" w:hAnsi="宋体" w:eastAsia="宋体" w:cs="宋体"/>
          <w:color w:val="auto"/>
          <w:sz w:val="21"/>
          <w:szCs w:val="18"/>
          <w:highlight w:val="none"/>
          <w:lang w:val="en-US" w:eastAsia="zh-CN"/>
        </w:rPr>
        <w:t>5</w:t>
      </w:r>
      <w:r>
        <w:rPr>
          <w:rFonts w:hint="eastAsia" w:ascii="宋体" w:hAnsi="宋体" w:eastAsia="宋体" w:cs="宋体"/>
          <w:color w:val="auto"/>
          <w:sz w:val="21"/>
          <w:szCs w:val="18"/>
          <w:highlight w:val="none"/>
        </w:rPr>
        <w:t>%）工程款的支付手续。</w:t>
      </w:r>
    </w:p>
    <w:p w14:paraId="5093EE83">
      <w:pPr>
        <w:tabs>
          <w:tab w:val="left" w:pos="498"/>
        </w:tabs>
        <w:spacing w:line="360" w:lineRule="auto"/>
        <w:ind w:firstLine="420" w:firstLineChars="200"/>
        <w:rPr>
          <w:rFonts w:hint="eastAsia" w:ascii="宋体" w:hAnsi="宋体" w:eastAsia="宋体" w:cs="宋体"/>
          <w:bCs w:val="0"/>
          <w:color w:val="auto"/>
          <w:kern w:val="2"/>
          <w:sz w:val="21"/>
          <w:szCs w:val="18"/>
          <w:lang w:val="en-US" w:eastAsia="zh-CN" w:bidi="ar-SA"/>
        </w:rPr>
      </w:pPr>
      <w:r>
        <w:rPr>
          <w:rFonts w:hint="eastAsia" w:ascii="宋体" w:hAnsi="宋体" w:eastAsia="宋体" w:cs="宋体"/>
          <w:color w:val="auto"/>
          <w:sz w:val="21"/>
          <w:szCs w:val="18"/>
          <w:highlight w:val="none"/>
        </w:rPr>
        <w:t>乙方提供全部正式税务发票。</w:t>
      </w:r>
    </w:p>
    <w:p w14:paraId="09612B24">
      <w:pPr>
        <w:adjustRightInd/>
        <w:snapToGrid/>
        <w:spacing w:line="360" w:lineRule="auto"/>
        <w:ind w:firstLine="0" w:firstLineChars="0"/>
        <w:rPr>
          <w:rFonts w:hint="default" w:ascii="Times New Roman" w:hAnsi="Times New Roman" w:eastAsia="宋体" w:cs="Times New Roman"/>
          <w:color w:val="auto"/>
          <w:sz w:val="24"/>
          <w:szCs w:val="24"/>
        </w:rPr>
      </w:pPr>
      <w:r>
        <w:rPr>
          <w:rFonts w:hint="eastAsia" w:ascii="宋体" w:hAnsi="宋体" w:eastAsia="宋体" w:cs="宋体"/>
          <w:b/>
          <w:color w:val="auto"/>
          <w:sz w:val="24"/>
          <w:szCs w:val="24"/>
        </w:rPr>
        <w:t>十</w:t>
      </w: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、合同订立</w:t>
      </w:r>
      <w:r>
        <w:rPr>
          <w:rFonts w:hint="eastAsia" w:ascii="宋体" w:hAnsi="宋体" w:eastAsia="宋体" w:cs="宋体"/>
          <w:b/>
          <w:bCs/>
          <w:color w:val="auto"/>
          <w:sz w:val="24"/>
          <w:szCs w:val="24"/>
          <w:highlight w:val="none"/>
        </w:rPr>
        <w:t>:</w:t>
      </w:r>
    </w:p>
    <w:p w14:paraId="65EB30D3">
      <w:pPr>
        <w:tabs>
          <w:tab w:val="left" w:pos="498"/>
        </w:tabs>
        <w:adjustRightInd/>
        <w:snapToGrid/>
        <w:spacing w:line="360" w:lineRule="auto"/>
        <w:ind w:firstLine="420" w:firstLineChars="200"/>
        <w:rPr>
          <w:rFonts w:hint="eastAsia" w:ascii="宋体" w:hAnsi="宋体" w:eastAsia="宋体" w:cs="宋体"/>
          <w:color w:val="auto"/>
          <w:sz w:val="21"/>
          <w:szCs w:val="18"/>
        </w:rPr>
      </w:pPr>
      <w:r>
        <w:rPr>
          <w:rFonts w:hint="eastAsia" w:ascii="宋体" w:hAnsi="宋体" w:eastAsia="宋体" w:cs="宋体"/>
          <w:color w:val="auto"/>
          <w:sz w:val="21"/>
          <w:szCs w:val="18"/>
        </w:rPr>
        <w:t>1. 订立时间：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non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日。</w:t>
      </w:r>
    </w:p>
    <w:p w14:paraId="6848B8B5">
      <w:pPr>
        <w:tabs>
          <w:tab w:val="left" w:pos="498"/>
        </w:tabs>
        <w:adjustRightInd/>
        <w:snapToGrid/>
        <w:spacing w:line="360" w:lineRule="auto"/>
        <w:ind w:firstLine="420" w:firstLineChars="200"/>
        <w:rPr>
          <w:rFonts w:hint="eastAsia" w:ascii="宋体" w:hAnsi="宋体" w:eastAsia="宋体" w:cs="宋体"/>
          <w:color w:val="auto"/>
          <w:sz w:val="21"/>
          <w:szCs w:val="18"/>
        </w:rPr>
      </w:pPr>
      <w:r>
        <w:rPr>
          <w:rFonts w:hint="eastAsia" w:ascii="宋体" w:hAnsi="宋体" w:eastAsia="宋体" w:cs="宋体"/>
          <w:color w:val="auto"/>
          <w:sz w:val="21"/>
          <w:szCs w:val="18"/>
        </w:rPr>
        <w:t>2. 订立地点：</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w:t>
      </w:r>
    </w:p>
    <w:p w14:paraId="7BBE010F">
      <w:pPr>
        <w:tabs>
          <w:tab w:val="left" w:pos="498"/>
        </w:tabs>
        <w:kinsoku/>
        <w:spacing w:line="360" w:lineRule="auto"/>
        <w:ind w:left="0" w:leftChars="0" w:firstLine="420" w:firstLineChars="200"/>
        <w:rPr>
          <w:rFonts w:hint="eastAsia" w:ascii="宋体" w:hAnsi="宋体" w:eastAsia="宋体" w:cs="宋体"/>
          <w:color w:val="auto"/>
          <w:sz w:val="21"/>
          <w:szCs w:val="18"/>
          <w:lang w:eastAsia="zh-CN"/>
        </w:rPr>
      </w:pPr>
      <w:r>
        <w:rPr>
          <w:rFonts w:hint="eastAsia" w:ascii="宋体" w:hAnsi="宋体" w:eastAsia="宋体" w:cs="宋体"/>
          <w:color w:val="auto"/>
          <w:sz w:val="21"/>
          <w:szCs w:val="18"/>
          <w:lang w:val="en-US" w:eastAsia="zh-CN"/>
        </w:rPr>
        <w:t>3. 合同期限：</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日</w:t>
      </w:r>
      <w:r>
        <w:rPr>
          <w:rFonts w:hint="eastAsia" w:ascii="宋体" w:hAnsi="宋体" w:eastAsia="宋体" w:cs="宋体"/>
          <w:color w:val="auto"/>
          <w:sz w:val="21"/>
          <w:szCs w:val="18"/>
          <w:lang w:val="en-US" w:eastAsia="zh-CN"/>
        </w:rPr>
        <w:t>至</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年</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rPr>
        <w:t>月</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日，</w:t>
      </w:r>
      <w:r>
        <w:rPr>
          <w:rFonts w:hint="eastAsia" w:ascii="宋体" w:hAnsi="宋体" w:eastAsia="宋体" w:cs="宋体"/>
          <w:color w:val="auto"/>
          <w:sz w:val="21"/>
          <w:szCs w:val="18"/>
          <w:lang w:eastAsia="zh-CN"/>
        </w:rPr>
        <w:t>服务</w:t>
      </w:r>
      <w:r>
        <w:rPr>
          <w:rFonts w:hint="eastAsia" w:ascii="宋体" w:hAnsi="宋体" w:eastAsia="宋体" w:cs="宋体"/>
          <w:color w:val="auto"/>
          <w:sz w:val="21"/>
          <w:szCs w:val="18"/>
          <w:lang w:val="en-US" w:eastAsia="zh-CN"/>
        </w:rPr>
        <w:t>期</w:t>
      </w:r>
      <w:r>
        <w:rPr>
          <w:rFonts w:hint="eastAsia" w:ascii="宋体" w:hAnsi="宋体" w:eastAsia="宋体" w:cs="宋体"/>
          <w:color w:val="auto"/>
          <w:sz w:val="21"/>
          <w:szCs w:val="18"/>
        </w:rPr>
        <w:t>为</w:t>
      </w:r>
      <w:r>
        <w:rPr>
          <w:rFonts w:hint="eastAsia" w:ascii="宋体" w:hAnsi="宋体" w:eastAsia="宋体" w:cs="宋体"/>
          <w:color w:val="auto"/>
          <w:sz w:val="21"/>
          <w:szCs w:val="18"/>
          <w:u w:val="single"/>
        </w:rPr>
        <w:t xml:space="preserve"> </w:t>
      </w:r>
      <w:r>
        <w:rPr>
          <w:rFonts w:hint="eastAsia" w:ascii="宋体" w:hAnsi="宋体" w:eastAsia="宋体" w:cs="宋体"/>
          <w:color w:val="auto"/>
          <w:sz w:val="21"/>
          <w:szCs w:val="18"/>
          <w:u w:val="single"/>
          <w:lang w:val="en-US" w:eastAsia="zh-CN"/>
        </w:rPr>
        <w:t xml:space="preserve">   </w:t>
      </w:r>
      <w:r>
        <w:rPr>
          <w:rFonts w:hint="eastAsia" w:ascii="宋体" w:hAnsi="宋体" w:eastAsia="宋体" w:cs="宋体"/>
          <w:color w:val="auto"/>
          <w:sz w:val="21"/>
          <w:szCs w:val="18"/>
        </w:rPr>
        <w:t>天。。</w:t>
      </w:r>
    </w:p>
    <w:p w14:paraId="57728C47">
      <w:pPr>
        <w:tabs>
          <w:tab w:val="left" w:pos="498"/>
        </w:tabs>
        <w:kinsoku/>
        <w:spacing w:line="360" w:lineRule="auto"/>
        <w:ind w:left="0" w:leftChars="0" w:firstLine="420" w:firstLineChars="200"/>
        <w:rPr>
          <w:rFonts w:hint="eastAsia" w:ascii="宋体" w:hAnsi="宋体" w:eastAsia="宋体" w:cs="宋体"/>
          <w:color w:val="auto"/>
          <w:sz w:val="21"/>
          <w:szCs w:val="18"/>
        </w:rPr>
      </w:pPr>
      <w:r>
        <w:rPr>
          <w:rFonts w:hint="eastAsia" w:ascii="宋体" w:hAnsi="宋体" w:eastAsia="宋体" w:cs="宋体"/>
          <w:color w:val="auto"/>
          <w:sz w:val="21"/>
          <w:szCs w:val="18"/>
          <w:lang w:val="en-US" w:eastAsia="zh-CN"/>
        </w:rPr>
        <w:t xml:space="preserve">    </w:t>
      </w:r>
      <w:r>
        <w:rPr>
          <w:rFonts w:hint="eastAsia" w:ascii="宋体" w:hAnsi="宋体" w:eastAsia="宋体" w:cs="宋体"/>
          <w:color w:val="auto"/>
          <w:sz w:val="21"/>
          <w:szCs w:val="18"/>
          <w:lang w:eastAsia="zh-CN"/>
        </w:rPr>
        <w:t>4</w:t>
      </w:r>
      <w:r>
        <w:rPr>
          <w:rFonts w:hint="eastAsia" w:ascii="宋体" w:hAnsi="宋体" w:eastAsia="宋体" w:cs="宋体"/>
          <w:color w:val="auto"/>
          <w:sz w:val="21"/>
          <w:szCs w:val="18"/>
          <w:lang w:val="en-US" w:eastAsia="zh-CN"/>
        </w:rPr>
        <w:t>. 本合同一式</w:t>
      </w:r>
      <w:r>
        <w:rPr>
          <w:rFonts w:hint="eastAsia" w:ascii="宋体" w:hAnsi="宋体" w:eastAsia="宋体" w:cs="宋体"/>
          <w:color w:val="auto"/>
          <w:sz w:val="21"/>
          <w:szCs w:val="18"/>
          <w:u w:val="single"/>
          <w:lang w:val="en-US" w:eastAsia="zh-CN"/>
        </w:rPr>
        <w:t xml:space="preserve"> 肆 </w:t>
      </w:r>
      <w:r>
        <w:rPr>
          <w:rFonts w:hint="eastAsia" w:ascii="宋体" w:hAnsi="宋体" w:eastAsia="宋体" w:cs="宋体"/>
          <w:color w:val="auto"/>
          <w:sz w:val="21"/>
          <w:szCs w:val="18"/>
          <w:lang w:val="en-US" w:eastAsia="zh-CN"/>
        </w:rPr>
        <w:t>份，双方各执</w:t>
      </w:r>
      <w:r>
        <w:rPr>
          <w:rFonts w:hint="eastAsia" w:ascii="宋体" w:hAnsi="宋体" w:eastAsia="宋体" w:cs="宋体"/>
          <w:color w:val="auto"/>
          <w:sz w:val="21"/>
          <w:szCs w:val="18"/>
          <w:u w:val="single"/>
          <w:lang w:val="en-US" w:eastAsia="zh-CN"/>
        </w:rPr>
        <w:t xml:space="preserve"> 壹 </w:t>
      </w:r>
      <w:r>
        <w:rPr>
          <w:rFonts w:hint="eastAsia" w:ascii="宋体" w:hAnsi="宋体" w:eastAsia="宋体" w:cs="宋体"/>
          <w:color w:val="auto"/>
          <w:sz w:val="21"/>
          <w:szCs w:val="18"/>
          <w:lang w:val="en-US" w:eastAsia="zh-CN"/>
        </w:rPr>
        <w:t>正</w:t>
      </w:r>
      <w:r>
        <w:rPr>
          <w:rFonts w:hint="eastAsia" w:ascii="宋体" w:hAnsi="宋体" w:eastAsia="宋体" w:cs="宋体"/>
          <w:color w:val="auto"/>
          <w:sz w:val="21"/>
          <w:szCs w:val="18"/>
          <w:u w:val="single"/>
          <w:lang w:val="en-US" w:eastAsia="zh-CN"/>
        </w:rPr>
        <w:t xml:space="preserve"> 壹 </w:t>
      </w:r>
      <w:r>
        <w:rPr>
          <w:rFonts w:hint="eastAsia" w:ascii="宋体" w:hAnsi="宋体" w:eastAsia="宋体" w:cs="宋体"/>
          <w:color w:val="auto"/>
          <w:sz w:val="21"/>
          <w:szCs w:val="18"/>
          <w:lang w:val="en-US" w:eastAsia="zh-CN"/>
        </w:rPr>
        <w:t>副，甲、乙双方代表签字或盖章后生效。款项结清后本合同自行终止。</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D281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648E53EE">
            <w:pPr>
              <w:spacing w:line="480" w:lineRule="auto"/>
              <w:jc w:val="both"/>
              <w:rPr>
                <w:rFonts w:hint="eastAsia"/>
                <w:sz w:val="21"/>
                <w:szCs w:val="21"/>
                <w:vertAlign w:val="baseline"/>
                <w:lang w:val="en-US" w:eastAsia="zh-CN"/>
              </w:rPr>
            </w:pPr>
            <w:r>
              <w:rPr>
                <w:rFonts w:hint="eastAsia"/>
                <w:sz w:val="21"/>
                <w:szCs w:val="21"/>
                <w:vertAlign w:val="baseline"/>
                <w:lang w:val="en-US" w:eastAsia="zh-CN"/>
              </w:rPr>
              <w:t xml:space="preserve">采购人：（盖章） </w:t>
            </w:r>
          </w:p>
          <w:p w14:paraId="3037C6DB">
            <w:pPr>
              <w:pStyle w:val="3"/>
              <w:rPr>
                <w:rFonts w:hint="eastAsia"/>
                <w:lang w:val="en-US" w:eastAsia="zh-CN"/>
              </w:rPr>
            </w:pPr>
          </w:p>
        </w:tc>
        <w:tc>
          <w:tcPr>
            <w:tcW w:w="4768" w:type="dxa"/>
            <w:tcBorders>
              <w:top w:val="nil"/>
              <w:left w:val="nil"/>
              <w:bottom w:val="nil"/>
              <w:right w:val="nil"/>
            </w:tcBorders>
            <w:noWrap w:val="0"/>
            <w:vAlign w:val="top"/>
          </w:tcPr>
          <w:p w14:paraId="6AB50A8A">
            <w:pPr>
              <w:spacing w:line="480" w:lineRule="auto"/>
              <w:jc w:val="both"/>
              <w:rPr>
                <w:rFonts w:hint="eastAsia"/>
                <w:sz w:val="21"/>
                <w:szCs w:val="21"/>
                <w:vertAlign w:val="baseline"/>
                <w:lang w:val="en-US" w:eastAsia="zh-CN"/>
              </w:rPr>
            </w:pPr>
            <w:r>
              <w:rPr>
                <w:rFonts w:hint="eastAsia"/>
                <w:sz w:val="21"/>
                <w:szCs w:val="21"/>
                <w:vertAlign w:val="baseline"/>
                <w:lang w:val="en-US" w:eastAsia="zh-CN"/>
              </w:rPr>
              <w:t xml:space="preserve">供应商：（盖章） </w:t>
            </w:r>
          </w:p>
        </w:tc>
      </w:tr>
      <w:tr w14:paraId="3A24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149A5B63">
            <w:pPr>
              <w:spacing w:line="480" w:lineRule="auto"/>
              <w:jc w:val="both"/>
              <w:rPr>
                <w:rFonts w:hint="eastAsia"/>
                <w:sz w:val="21"/>
                <w:szCs w:val="21"/>
                <w:lang w:val="en-US" w:eastAsia="zh-CN"/>
              </w:rPr>
            </w:pPr>
            <w:r>
              <w:rPr>
                <w:rFonts w:hint="eastAsia"/>
                <w:sz w:val="21"/>
                <w:szCs w:val="21"/>
                <w:lang w:val="en-US" w:eastAsia="zh-CN"/>
              </w:rPr>
              <w:t>法定代表人（签字或盖章）：</w:t>
            </w:r>
          </w:p>
          <w:p w14:paraId="6111941A">
            <w:pPr>
              <w:spacing w:line="480" w:lineRule="auto"/>
              <w:jc w:val="both"/>
              <w:rPr>
                <w:rFonts w:hint="eastAsia"/>
                <w:sz w:val="21"/>
                <w:szCs w:val="21"/>
                <w:vertAlign w:val="baseline"/>
                <w:lang w:val="en-US" w:eastAsia="zh-CN"/>
              </w:rPr>
            </w:pPr>
            <w:r>
              <w:rPr>
                <w:rFonts w:hint="eastAsia"/>
                <w:sz w:val="21"/>
                <w:szCs w:val="21"/>
                <w:lang w:val="en-US" w:eastAsia="zh-CN"/>
              </w:rPr>
              <w:t xml:space="preserve"> </w:t>
            </w:r>
          </w:p>
        </w:tc>
        <w:tc>
          <w:tcPr>
            <w:tcW w:w="4768" w:type="dxa"/>
            <w:tcBorders>
              <w:top w:val="nil"/>
              <w:left w:val="nil"/>
              <w:bottom w:val="nil"/>
              <w:right w:val="nil"/>
            </w:tcBorders>
            <w:noWrap w:val="0"/>
            <w:vAlign w:val="top"/>
          </w:tcPr>
          <w:p w14:paraId="33E5246B">
            <w:pPr>
              <w:spacing w:line="480" w:lineRule="auto"/>
              <w:jc w:val="both"/>
              <w:rPr>
                <w:rFonts w:hint="eastAsia"/>
                <w:sz w:val="21"/>
                <w:szCs w:val="21"/>
                <w:vertAlign w:val="baseline"/>
                <w:lang w:val="en-US" w:eastAsia="zh-CN"/>
              </w:rPr>
            </w:pPr>
            <w:r>
              <w:rPr>
                <w:rFonts w:hint="eastAsia"/>
                <w:sz w:val="21"/>
                <w:szCs w:val="21"/>
                <w:lang w:val="en-US" w:eastAsia="zh-CN"/>
              </w:rPr>
              <w:t xml:space="preserve">法定代表人（签字或盖章）： </w:t>
            </w:r>
          </w:p>
        </w:tc>
      </w:tr>
      <w:tr w14:paraId="04F18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0C9CAE54">
            <w:pPr>
              <w:spacing w:line="480" w:lineRule="auto"/>
              <w:jc w:val="both"/>
              <w:rPr>
                <w:rFonts w:hint="eastAsia"/>
                <w:sz w:val="21"/>
                <w:szCs w:val="21"/>
                <w:lang w:val="en-US" w:eastAsia="zh-CN"/>
              </w:rPr>
            </w:pPr>
            <w:r>
              <w:rPr>
                <w:rFonts w:hint="eastAsia"/>
                <w:sz w:val="21"/>
                <w:szCs w:val="21"/>
                <w:lang w:val="en-US" w:eastAsia="zh-CN"/>
              </w:rPr>
              <w:t>授权代理人（签字或盖章）：</w:t>
            </w:r>
          </w:p>
          <w:p w14:paraId="54899C1D">
            <w:pPr>
              <w:spacing w:line="480" w:lineRule="auto"/>
              <w:jc w:val="both"/>
              <w:rPr>
                <w:rFonts w:hint="eastAsia"/>
                <w:sz w:val="21"/>
                <w:szCs w:val="21"/>
                <w:vertAlign w:val="baseline"/>
                <w:lang w:val="en-US" w:eastAsia="zh-CN"/>
              </w:rPr>
            </w:pPr>
            <w:r>
              <w:rPr>
                <w:rFonts w:hint="eastAsia"/>
                <w:sz w:val="21"/>
                <w:szCs w:val="21"/>
                <w:lang w:val="en-US" w:eastAsia="zh-CN"/>
              </w:rPr>
              <w:t xml:space="preserve">  </w:t>
            </w:r>
          </w:p>
        </w:tc>
        <w:tc>
          <w:tcPr>
            <w:tcW w:w="4768" w:type="dxa"/>
            <w:tcBorders>
              <w:top w:val="nil"/>
              <w:left w:val="nil"/>
              <w:bottom w:val="nil"/>
              <w:right w:val="nil"/>
            </w:tcBorders>
            <w:noWrap w:val="0"/>
            <w:vAlign w:val="top"/>
          </w:tcPr>
          <w:p w14:paraId="35D98B63">
            <w:pPr>
              <w:spacing w:line="480" w:lineRule="auto"/>
              <w:jc w:val="both"/>
              <w:rPr>
                <w:rFonts w:hint="eastAsia"/>
                <w:sz w:val="21"/>
                <w:szCs w:val="21"/>
                <w:vertAlign w:val="baseline"/>
                <w:lang w:val="en-US" w:eastAsia="zh-CN"/>
              </w:rPr>
            </w:pPr>
            <w:r>
              <w:rPr>
                <w:rFonts w:hint="eastAsia"/>
                <w:sz w:val="21"/>
                <w:szCs w:val="21"/>
                <w:lang w:val="en-US" w:eastAsia="zh-CN"/>
              </w:rPr>
              <w:t xml:space="preserve">授权代理人（签字或盖章）：  </w:t>
            </w:r>
          </w:p>
        </w:tc>
      </w:tr>
      <w:tr w14:paraId="02EA9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767B1D8">
            <w:pPr>
              <w:spacing w:line="480" w:lineRule="auto"/>
              <w:jc w:val="both"/>
              <w:rPr>
                <w:rFonts w:hint="eastAsia"/>
                <w:sz w:val="21"/>
                <w:szCs w:val="21"/>
                <w:vertAlign w:val="baseline"/>
                <w:lang w:val="en-US" w:eastAsia="zh-CN"/>
              </w:rPr>
            </w:pPr>
            <w:r>
              <w:rPr>
                <w:rFonts w:hint="eastAsia"/>
                <w:sz w:val="21"/>
                <w:szCs w:val="21"/>
                <w:lang w:val="en-US" w:eastAsia="zh-CN"/>
              </w:rPr>
              <w:t>单位地址：</w:t>
            </w:r>
          </w:p>
        </w:tc>
        <w:tc>
          <w:tcPr>
            <w:tcW w:w="4768" w:type="dxa"/>
            <w:tcBorders>
              <w:top w:val="nil"/>
              <w:left w:val="nil"/>
              <w:bottom w:val="nil"/>
              <w:right w:val="nil"/>
            </w:tcBorders>
            <w:noWrap w:val="0"/>
            <w:vAlign w:val="top"/>
          </w:tcPr>
          <w:p w14:paraId="2C2C8ED7">
            <w:pPr>
              <w:spacing w:line="480" w:lineRule="auto"/>
              <w:jc w:val="both"/>
              <w:rPr>
                <w:rFonts w:hint="default"/>
                <w:sz w:val="21"/>
                <w:szCs w:val="21"/>
                <w:vertAlign w:val="baseline"/>
                <w:lang w:val="en-US" w:eastAsia="zh-CN"/>
              </w:rPr>
            </w:pPr>
            <w:r>
              <w:rPr>
                <w:rFonts w:hint="eastAsia"/>
                <w:sz w:val="21"/>
                <w:szCs w:val="21"/>
                <w:lang w:val="en-US" w:eastAsia="zh-CN"/>
              </w:rPr>
              <w:t>单位地址：</w:t>
            </w:r>
          </w:p>
        </w:tc>
      </w:tr>
      <w:tr w14:paraId="6E9B2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B8FE6EA">
            <w:pPr>
              <w:spacing w:line="480" w:lineRule="auto"/>
              <w:jc w:val="both"/>
              <w:rPr>
                <w:rFonts w:hint="eastAsia"/>
                <w:sz w:val="21"/>
                <w:szCs w:val="21"/>
                <w:lang w:val="en-US" w:eastAsia="zh-CN"/>
              </w:rPr>
            </w:pPr>
          </w:p>
        </w:tc>
        <w:tc>
          <w:tcPr>
            <w:tcW w:w="4768" w:type="dxa"/>
            <w:tcBorders>
              <w:top w:val="nil"/>
              <w:left w:val="nil"/>
              <w:bottom w:val="nil"/>
              <w:right w:val="nil"/>
            </w:tcBorders>
            <w:noWrap w:val="0"/>
            <w:vAlign w:val="top"/>
          </w:tcPr>
          <w:p w14:paraId="00DE6113">
            <w:pPr>
              <w:spacing w:line="480" w:lineRule="auto"/>
              <w:jc w:val="both"/>
              <w:rPr>
                <w:rFonts w:hint="eastAsia"/>
                <w:sz w:val="21"/>
                <w:szCs w:val="21"/>
                <w:lang w:val="en-US" w:eastAsia="zh-CN"/>
              </w:rPr>
            </w:pPr>
            <w:r>
              <w:rPr>
                <w:rFonts w:hint="eastAsia" w:ascii="宋体" w:hAnsi="宋体" w:eastAsia="宋体" w:cs="宋体"/>
                <w:sz w:val="21"/>
                <w:szCs w:val="21"/>
                <w:u w:val="none"/>
                <w:lang w:val="en-US" w:eastAsia="zh-CN"/>
              </w:rPr>
              <w:t>纳</w:t>
            </w:r>
            <w:r>
              <w:rPr>
                <w:rFonts w:hint="eastAsia" w:ascii="宋体" w:hAnsi="宋体" w:cs="宋体"/>
                <w:sz w:val="21"/>
                <w:szCs w:val="21"/>
                <w:u w:val="none"/>
                <w:lang w:val="en-US" w:eastAsia="zh-CN"/>
              </w:rPr>
              <w:t>税</w:t>
            </w:r>
            <w:r>
              <w:rPr>
                <w:rFonts w:hint="eastAsia" w:ascii="宋体" w:hAnsi="宋体" w:eastAsia="宋体" w:cs="宋体"/>
                <w:sz w:val="21"/>
                <w:szCs w:val="21"/>
                <w:u w:val="none"/>
                <w:lang w:val="en-US" w:eastAsia="zh-CN"/>
              </w:rPr>
              <w:t>人识别号</w:t>
            </w:r>
            <w:r>
              <w:rPr>
                <w:rFonts w:hint="eastAsia"/>
                <w:sz w:val="21"/>
                <w:szCs w:val="21"/>
                <w:lang w:val="en-US" w:eastAsia="zh-CN"/>
              </w:rPr>
              <w:t>：</w:t>
            </w:r>
          </w:p>
        </w:tc>
      </w:tr>
      <w:tr w14:paraId="75750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48EBC99D">
            <w:pPr>
              <w:spacing w:line="480" w:lineRule="auto"/>
              <w:jc w:val="both"/>
              <w:rPr>
                <w:rFonts w:hint="eastAsia"/>
                <w:sz w:val="21"/>
                <w:szCs w:val="21"/>
                <w:vertAlign w:val="baseline"/>
                <w:lang w:val="en-US" w:eastAsia="zh-CN"/>
              </w:rPr>
            </w:pPr>
            <w:r>
              <w:rPr>
                <w:rFonts w:hint="eastAsia"/>
                <w:sz w:val="21"/>
                <w:szCs w:val="21"/>
                <w:lang w:val="en-US" w:eastAsia="zh-CN"/>
              </w:rPr>
              <w:t>开户银行：</w:t>
            </w:r>
          </w:p>
        </w:tc>
        <w:tc>
          <w:tcPr>
            <w:tcW w:w="4768" w:type="dxa"/>
            <w:tcBorders>
              <w:top w:val="nil"/>
              <w:left w:val="nil"/>
              <w:bottom w:val="nil"/>
              <w:right w:val="nil"/>
            </w:tcBorders>
            <w:noWrap w:val="0"/>
            <w:vAlign w:val="top"/>
          </w:tcPr>
          <w:p w14:paraId="1B805EDA">
            <w:pPr>
              <w:spacing w:line="480" w:lineRule="auto"/>
              <w:jc w:val="both"/>
              <w:rPr>
                <w:rFonts w:hint="eastAsia"/>
                <w:sz w:val="21"/>
                <w:szCs w:val="21"/>
                <w:vertAlign w:val="baseline"/>
                <w:lang w:val="en-US" w:eastAsia="zh-CN"/>
              </w:rPr>
            </w:pPr>
            <w:r>
              <w:rPr>
                <w:rFonts w:hint="eastAsia"/>
                <w:sz w:val="21"/>
                <w:szCs w:val="21"/>
                <w:lang w:val="en-US" w:eastAsia="zh-CN"/>
              </w:rPr>
              <w:t>开户银行：</w:t>
            </w:r>
          </w:p>
        </w:tc>
      </w:tr>
      <w:tr w14:paraId="22EB1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659A9C1C">
            <w:pPr>
              <w:spacing w:line="480" w:lineRule="auto"/>
              <w:jc w:val="both"/>
              <w:rPr>
                <w:rFonts w:hint="eastAsia"/>
                <w:sz w:val="21"/>
                <w:szCs w:val="21"/>
                <w:vertAlign w:val="baseline"/>
                <w:lang w:val="en-US" w:eastAsia="zh-CN"/>
              </w:rPr>
            </w:pPr>
            <w:r>
              <w:rPr>
                <w:rFonts w:hint="eastAsia"/>
                <w:sz w:val="21"/>
                <w:szCs w:val="21"/>
                <w:lang w:val="en-US" w:eastAsia="zh-CN"/>
              </w:rPr>
              <w:t xml:space="preserve">账    号： </w:t>
            </w:r>
          </w:p>
        </w:tc>
        <w:tc>
          <w:tcPr>
            <w:tcW w:w="4768" w:type="dxa"/>
            <w:tcBorders>
              <w:top w:val="nil"/>
              <w:left w:val="nil"/>
              <w:bottom w:val="nil"/>
              <w:right w:val="nil"/>
            </w:tcBorders>
            <w:noWrap w:val="0"/>
            <w:vAlign w:val="top"/>
          </w:tcPr>
          <w:p w14:paraId="40A245B4">
            <w:pPr>
              <w:spacing w:line="480" w:lineRule="auto"/>
              <w:jc w:val="both"/>
              <w:rPr>
                <w:rFonts w:hint="eastAsia"/>
                <w:sz w:val="21"/>
                <w:szCs w:val="21"/>
                <w:vertAlign w:val="baseline"/>
                <w:lang w:val="en-US" w:eastAsia="zh-CN"/>
              </w:rPr>
            </w:pPr>
            <w:r>
              <w:rPr>
                <w:rFonts w:hint="eastAsia"/>
                <w:sz w:val="21"/>
                <w:szCs w:val="21"/>
                <w:lang w:val="en-US" w:eastAsia="zh-CN"/>
              </w:rPr>
              <w:t>账    号：</w:t>
            </w:r>
          </w:p>
        </w:tc>
      </w:tr>
    </w:tbl>
    <w:p w14:paraId="4311C3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zMGJkYTRmZGU0YzdkZTE2MGVlN2I3NGY1N2Q2NjUifQ=="/>
  </w:docVars>
  <w:rsids>
    <w:rsidRoot w:val="00000000"/>
    <w:rsid w:val="09F4282F"/>
    <w:rsid w:val="5FC44C15"/>
    <w:rsid w:val="634444F3"/>
    <w:rsid w:val="766439E6"/>
    <w:rsid w:val="7FF66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Times New Roman" w:hAnsi="Times New Roman" w:eastAsia="宋体" w:cs="Times New Roman"/>
      <w:kern w:val="2"/>
      <w:sz w:val="24"/>
      <w:szCs w:val="22"/>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style>
  <w:style w:type="paragraph" w:styleId="4">
    <w:name w:val="toc 4"/>
    <w:basedOn w:val="1"/>
    <w:next w:val="1"/>
    <w:qFormat/>
    <w:uiPriority w:val="0"/>
    <w:pPr>
      <w:ind w:left="630"/>
      <w:jc w:val="left"/>
    </w:pPr>
    <w:rPr>
      <w:sz w:val="18"/>
      <w:szCs w:val="18"/>
    </w:rPr>
  </w:style>
  <w:style w:type="paragraph" w:styleId="5">
    <w:name w:val="Body Text"/>
    <w:basedOn w:val="1"/>
    <w:qFormat/>
    <w:uiPriority w:val="0"/>
    <w:pPr>
      <w:spacing w:after="120" w:afterLines="0" w:afterAutospacing="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3217</Words>
  <Characters>3253</Characters>
  <Lines>0</Lines>
  <Paragraphs>0</Paragraphs>
  <TotalTime>1</TotalTime>
  <ScaleCrop>false</ScaleCrop>
  <LinksUpToDate>false</LinksUpToDate>
  <CharactersWithSpaces>3615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2023-11-29T07:02:00Z</dcterms:created>
  <dc:creator>Administrator</dc:creator>
  <cp:lastModifiedBy>格式化</cp:lastModifiedBy>
  <dcterms:modified xsi:type="dcterms:W3CDTF">2025-05-23T08:43:38Z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2E28E5404787430C9F5F7E004115C26B_12</vt:lpwstr>
  </property>
  <property fmtid="{D5CDD505-2E9C-101B-9397-08002B2CF9AE}" pid="4" name="KSOTemplateDocerSaveRecord">
    <vt:lpwstr>eyJoZGlkIjoiNTBlMGRmZWQwYzFmYjE1NWJjY2JiYzUxN2E0NjIyNDciLCJ1c2VySWQiOiI3MDY4MDcyMDMifQ==</vt:lpwstr>
  </property>
</Properties>
</file>