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版本号：2025-ZYD-ZB-02020250523001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2025年市级林业有害生物防控应急处置项目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2025-ZYD-ZB-020</w:t>
      </w:r>
      <w:r>
        <w:br/>
      </w:r>
      <w:r>
        <w:br/>
      </w:r>
      <w:r>
        <w:br/>
      </w:r>
    </w:p>
    <w:p>
      <w:pPr>
        <w:pStyle w:val="null3"/>
        <w:jc w:val="center"/>
        <w:outlineLvl w:val="2"/>
      </w:pPr>
      <w:r>
        <w:rPr>
          <w:rFonts w:ascii="仿宋_GB2312" w:hAnsi="仿宋_GB2312" w:cs="仿宋_GB2312" w:eastAsia="仿宋_GB2312"/>
          <w:sz w:val="28"/>
          <w:b/>
        </w:rPr>
        <w:t>西安市周至县林业工作站</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西安市周至县林业工作站</w:t>
      </w:r>
      <w:r>
        <w:rPr>
          <w:rFonts w:ascii="仿宋_GB2312" w:hAnsi="仿宋_GB2312" w:cs="仿宋_GB2312" w:eastAsia="仿宋_GB2312"/>
        </w:rPr>
        <w:t>委托，拟对</w:t>
      </w:r>
      <w:r>
        <w:rPr>
          <w:rFonts w:ascii="仿宋_GB2312" w:hAnsi="仿宋_GB2312" w:cs="仿宋_GB2312" w:eastAsia="仿宋_GB2312"/>
        </w:rPr>
        <w:t>2025年市级林业有害生物防控应急处置项目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2025-ZYD-ZB-020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2025年市级林业有害生物防控应急处置项目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建设目标主要有三项：一是在松林分布区架设松褐天牛诱捕器500台，平原地区架设美国白蛾诱捕器500台;二是采取人工巡查方式监控境内林分，有效累计普查面积60万亩;三是对病虫危害林分及时采取预防性防治面积1万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采购包1（2025年市级林业有害生物防控应急处置项目）：属于专门面向中小企业采购。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1、营业执照：投标人须具有独立承担民事责任能力的法人或其他组织，提供营业执照或事业单位法人证书或自然人的身份证明；</w:t>
      </w:r>
    </w:p>
    <w:p>
      <w:pPr>
        <w:pStyle w:val="null3"/>
      </w:pPr>
      <w:r>
        <w:rPr>
          <w:rFonts w:ascii="仿宋_GB2312" w:hAnsi="仿宋_GB2312" w:cs="仿宋_GB2312" w:eastAsia="仿宋_GB2312"/>
        </w:rPr>
        <w:t>2、法定代表人及被授权人：具备合格有效的法定代表人授权书及被授权人身份证（法定代表人参加需提供法定代表人资格证明书和身份证）；</w:t>
      </w:r>
    </w:p>
    <w:p>
      <w:pPr>
        <w:pStyle w:val="null3"/>
      </w:pPr>
      <w:r>
        <w:rPr>
          <w:rFonts w:ascii="仿宋_GB2312" w:hAnsi="仿宋_GB2312" w:cs="仿宋_GB2312" w:eastAsia="仿宋_GB2312"/>
        </w:rPr>
        <w:t>3、财务状况报告：提供2023年度或2024年度投标人的财务报告或开标前六个月内其基本账户银行出具的资信证明；</w:t>
      </w:r>
    </w:p>
    <w:p>
      <w:pPr>
        <w:pStyle w:val="null3"/>
      </w:pPr>
      <w:r>
        <w:rPr>
          <w:rFonts w:ascii="仿宋_GB2312" w:hAnsi="仿宋_GB2312" w:cs="仿宋_GB2312" w:eastAsia="仿宋_GB2312"/>
        </w:rPr>
        <w:t>4、税收缴纳证明：投标人需提供投标截至日期前6个月内任意一个月的完税凭证或税务机关开具的完税证明（任意税种）；依法免税的应提供相关文件证明；</w:t>
      </w:r>
    </w:p>
    <w:p>
      <w:pPr>
        <w:pStyle w:val="null3"/>
      </w:pPr>
      <w:r>
        <w:rPr>
          <w:rFonts w:ascii="仿宋_GB2312" w:hAnsi="仿宋_GB2312" w:cs="仿宋_GB2312" w:eastAsia="仿宋_GB2312"/>
        </w:rPr>
        <w:t>5、社保缴纳证明：提供磋商截止日前近一年内至少一个月的社会保障资金缴存单据或社保机构开具的社会保险参保缴费情况 证明，依法不需要缴纳社会保障资金的单位应提供相关证明材料；</w:t>
      </w:r>
    </w:p>
    <w:p>
      <w:pPr>
        <w:pStyle w:val="null3"/>
      </w:pPr>
      <w:r>
        <w:rPr>
          <w:rFonts w:ascii="仿宋_GB2312" w:hAnsi="仿宋_GB2312" w:cs="仿宋_GB2312" w:eastAsia="仿宋_GB2312"/>
        </w:rPr>
        <w:t>6、资质证书：供应商应提供《陕西省林业有害生物防治资质证书》资质等级丁级及以上资质；</w:t>
      </w:r>
    </w:p>
    <w:p>
      <w:pPr>
        <w:pStyle w:val="null3"/>
      </w:pPr>
      <w:r>
        <w:rPr>
          <w:rFonts w:ascii="仿宋_GB2312" w:hAnsi="仿宋_GB2312" w:cs="仿宋_GB2312" w:eastAsia="仿宋_GB2312"/>
        </w:rPr>
        <w:t>7、书面承诺：提供具有履行本合同所必需的设备和专业技术能力的声明、参加政府采购活动前3年内在经营活动中没有重大违法记录的书面承诺；</w:t>
      </w:r>
    </w:p>
    <w:p>
      <w:pPr>
        <w:pStyle w:val="null3"/>
      </w:pPr>
      <w:r>
        <w:rPr>
          <w:rFonts w:ascii="仿宋_GB2312" w:hAnsi="仿宋_GB2312" w:cs="仿宋_GB2312" w:eastAsia="仿宋_GB2312"/>
        </w:rPr>
        <w:t>8、信用查询：投标人应在投标截止日前未被列入失信被执行人、重大税收违法失信主体名单、政府采购严重违法失信行为记录名单（处罚期限届满的除外）（以“信用中国”网站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（www.creditchina.gov.cn）、中国政府采购网（www.ccgp.gov.cn）查询结果为准，提供网站截图并加盖投标人公章）；</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西安市周至县林业工作站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周至县农商街中段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西安市周至县林业工作站经办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西安市周至县公园一号（陕西中扬德项目管理有限公司 ）</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029-85160588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西安市周至县林业工作站</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西安市周至县林业工作站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西安市周至县林业工作站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达到国家现行法律法规及行业要求合格标准。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联系电话：029-85160588</w:t>
      </w:r>
    </w:p>
    <w:p>
      <w:pPr>
        <w:pStyle w:val="null3"/>
      </w:pPr>
      <w:r>
        <w:rPr>
          <w:rFonts w:ascii="仿宋_GB2312" w:hAnsi="仿宋_GB2312" w:cs="仿宋_GB2312" w:eastAsia="仿宋_GB2312"/>
        </w:rPr>
        <w:t>地址：西安市周至县公园一号（陕西中扬德项目管理有限公司 ）</w:t>
      </w:r>
    </w:p>
    <w:p>
      <w:pPr>
        <w:pStyle w:val="null3"/>
      </w:pPr>
      <w:r>
        <w:rPr>
          <w:rFonts w:ascii="仿宋_GB2312" w:hAnsi="仿宋_GB2312" w:cs="仿宋_GB2312" w:eastAsia="仿宋_GB2312"/>
        </w:rPr>
        <w:t>邮编： 710400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建设目标主要有三项：一是在松林分布区架设松褐天牛诱捕器500台监控媒介昆虫虫情，平原地区架设美国白蛾诱捕器500台监测美国白蛾虫情；二是采取多轮次人工巡查方式监控境内林分有无感染病虫，有效累计普查面积60万亩，及时发布预警信息；三是对病虫危害林分及时采取预防性防治面积1万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1,155,000.00</w:t>
      </w:r>
    </w:p>
    <w:p>
      <w:pPr>
        <w:pStyle w:val="null3"/>
      </w:pPr>
      <w:r>
        <w:rPr>
          <w:rFonts w:ascii="仿宋_GB2312" w:hAnsi="仿宋_GB2312" w:cs="仿宋_GB2312" w:eastAsia="仿宋_GB2312"/>
        </w:rPr>
        <w:t>采购包最高限价（元）: 1,155,000.00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2025年市级林业有害生物防控应急处置项目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标的名称：2025年市级林业有害生物防控应急处置项目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rFonts w:ascii="仿宋_GB2312" w:hAnsi="仿宋_GB2312" w:cs="仿宋_GB2312" w:eastAsia="仿宋_GB2312"/>
                    </w:rPr>
                    <w:t>操作</w:t>
                  </w:r>
                </w:p>
              </w:tc>
            </w:tr>
          </w:tbl>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b/>
                    </w:rPr>
                    <w:t>一、项目名称：</w:t>
                  </w:r>
                  <w:r>
                    <w:rPr>
                      <w:rFonts w:ascii="仿宋_GB2312" w:hAnsi="仿宋_GB2312" w:cs="仿宋_GB2312" w:eastAsia="仿宋_GB2312"/>
                    </w:rPr>
                    <w:t>2025年市级林业有害生物防控应急处置项目</w:t>
                  </w:r>
                </w:p>
                <w:p>
                  <w:pPr>
                    <w:pStyle w:val="null3"/>
                  </w:pPr>
                  <w:r>
                    <w:rPr>
                      <w:rFonts w:ascii="仿宋_GB2312" w:hAnsi="仿宋_GB2312" w:cs="仿宋_GB2312" w:eastAsia="仿宋_GB2312"/>
                      <w:b/>
                    </w:rPr>
                    <w:t>二、项目实施单位：</w:t>
                  </w:r>
                  <w:r>
                    <w:rPr>
                      <w:rFonts w:ascii="仿宋_GB2312" w:hAnsi="仿宋_GB2312" w:cs="仿宋_GB2312" w:eastAsia="仿宋_GB2312"/>
                    </w:rPr>
                    <w:t>周至县林业工作站</w:t>
                  </w:r>
                </w:p>
                <w:p>
                  <w:pPr>
                    <w:pStyle w:val="null3"/>
                  </w:pPr>
                  <w:r>
                    <w:rPr>
                      <w:rFonts w:ascii="仿宋_GB2312" w:hAnsi="仿宋_GB2312" w:cs="仿宋_GB2312" w:eastAsia="仿宋_GB2312"/>
                      <w:b/>
                    </w:rPr>
                    <w:t>三、项目实施内容：</w:t>
                  </w:r>
                </w:p>
                <w:p>
                  <w:pPr>
                    <w:pStyle w:val="null3"/>
                  </w:pPr>
                  <w:r>
                    <w:rPr>
                      <w:rFonts w:ascii="仿宋_GB2312" w:hAnsi="仿宋_GB2312" w:cs="仿宋_GB2312" w:eastAsia="仿宋_GB2312"/>
                    </w:rPr>
                    <w:t>本项目建设目标主要有三项：一是在松林分布区架设松褐天牛诱捕器500台，平原地区架设美国白蛾诱捕器500台;二是采取人工巡查方式监控境内林分，有效累计普查面积60万亩;三是对病虫危害林分及时采取预防性防治面积1万亩。</w:t>
                  </w:r>
                </w:p>
                <w:p>
                  <w:pPr>
                    <w:pStyle w:val="null3"/>
                  </w:pPr>
                  <w:r>
                    <w:rPr>
                      <w:rFonts w:ascii="仿宋_GB2312" w:hAnsi="仿宋_GB2312" w:cs="仿宋_GB2312" w:eastAsia="仿宋_GB2312"/>
                      <w:b/>
                    </w:rPr>
                    <w:t>四、主要技术措施：</w:t>
                  </w:r>
                </w:p>
                <w:p>
                  <w:pPr>
                    <w:pStyle w:val="null3"/>
                  </w:pPr>
                  <w:r>
                    <w:rPr>
                      <w:rFonts w:ascii="仿宋_GB2312" w:hAnsi="仿宋_GB2312" w:cs="仿宋_GB2312" w:eastAsia="仿宋_GB2312"/>
                    </w:rPr>
                    <w:t>1、架设诱捕器开展虫情监测：</w:t>
                  </w:r>
                </w:p>
                <w:p>
                  <w:pPr>
                    <w:pStyle w:val="null3"/>
                  </w:pPr>
                  <w:r>
                    <w:rPr>
                      <w:rFonts w:ascii="仿宋_GB2312" w:hAnsi="仿宋_GB2312" w:cs="仿宋_GB2312" w:eastAsia="仿宋_GB2312"/>
                    </w:rPr>
                    <w:t>松材线虫病监测采取媒介昆虫诱捕器监测方式，在厚畛子、板房子等松林分布区架设诱捕器500台，依照地形和林分分布，合理间隔诱捕器，监控媒介昆虫虫情；美国白蛾监测主要以风险区域为主开展，在风险点及周边架设美国白蛾诱捕器500台监测美国白蛾虫情，实行定人定点观测虫情，及时上报，为预测虫情提供依据。</w:t>
                  </w:r>
                </w:p>
                <w:p>
                  <w:pPr>
                    <w:pStyle w:val="null3"/>
                  </w:pPr>
                  <w:r>
                    <w:rPr>
                      <w:rFonts w:ascii="仿宋_GB2312" w:hAnsi="仿宋_GB2312" w:cs="仿宋_GB2312" w:eastAsia="仿宋_GB2312"/>
                    </w:rPr>
                    <w:t>2、开展人工排查：利用美国白蛾和松材线虫危害寄主分布情况对县域内林分进行人工排查，以美国白蛾和松材线虫病风险区和风险点为中心，对周边镇村林分、苗圃进行踏查排除，项目实施区域为周至县境内林分，有效累计普查面积60万亩。</w:t>
                  </w:r>
                </w:p>
                <w:p>
                  <w:pPr>
                    <w:pStyle w:val="null3"/>
                  </w:pPr>
                  <w:r>
                    <w:rPr>
                      <w:rFonts w:ascii="仿宋_GB2312" w:hAnsi="仿宋_GB2312" w:cs="仿宋_GB2312" w:eastAsia="仿宋_GB2312"/>
                    </w:rPr>
                    <w:t>主要措施有：</w:t>
                  </w:r>
                </w:p>
                <w:p>
                  <w:pPr>
                    <w:pStyle w:val="null3"/>
                  </w:pPr>
                  <w:r>
                    <w:rPr>
                      <w:rFonts w:ascii="仿宋_GB2312" w:hAnsi="仿宋_GB2312" w:cs="仿宋_GB2312" w:eastAsia="仿宋_GB2312"/>
                    </w:rPr>
                    <w:t>（1）美国白蛾普查：</w:t>
                  </w:r>
                </w:p>
                <w:p>
                  <w:pPr>
                    <w:pStyle w:val="null3"/>
                  </w:pPr>
                  <w:r>
                    <w:rPr>
                      <w:rFonts w:ascii="仿宋_GB2312" w:hAnsi="仿宋_GB2312" w:cs="仿宋_GB2312" w:eastAsia="仿宋_GB2312"/>
                    </w:rPr>
                    <w:t>主要普查范围为尚村、九峰、集贤、楼观、二曲、哑柏、马召等美国白蛾喜食树种分布和苗木流通区域，要结合美国白蛾喜食的金叶复叶槭、桑、榆、樱花、红叶李、核桃等树种分布，划定风险区域，以此为中心向周边村庄、林分进行排查。根据美国白蛾疫情传播方式，确定重点风险区为外来苗木进出周至的国省道沿线，由此向外覆盖的周边苗圃、林带、村庄为一般预防区。重点防控区域范围内的行道树、片林、房前屋后树木、苗圃要每隔3-5天全面排查。一般防控区域10-15天排查一次。普查主要以踏查为主，观察树上有无幼虫危害时形成的网幕，叶片有无啃食过的网膜状痕迹，查看树冠枝条端部或近端部叶片背面是否有卵块，树干、墙壁、电杆、草本植物及附近物体上是否有成虫。</w:t>
                  </w:r>
                </w:p>
                <w:p>
                  <w:pPr>
                    <w:pStyle w:val="null3"/>
                  </w:pPr>
                  <w:r>
                    <w:rPr>
                      <w:rFonts w:ascii="仿宋_GB2312" w:hAnsi="仿宋_GB2312" w:cs="仿宋_GB2312" w:eastAsia="仿宋_GB2312"/>
                    </w:rPr>
                    <w:t>（2）松材线虫病普查：</w:t>
                  </w:r>
                </w:p>
                <w:p>
                  <w:pPr>
                    <w:pStyle w:val="null3"/>
                  </w:pPr>
                  <w:r>
                    <w:rPr>
                      <w:rFonts w:ascii="仿宋_GB2312" w:hAnsi="仿宋_GB2312" w:cs="仿宋_GB2312" w:eastAsia="仿宋_GB2312"/>
                    </w:rPr>
                    <w:t>重点普查厚畛子、板房子、王家河、陈河、哑柏及沿山的九峰、集贤、楼观、马召、广济、骆峪、翠峰、竹峪等13镇辖区涉松林分、圃地。通往普查松林小班沿线的松树林分也应进行巡查，发现异常死亡植株或林分应及时上报进行处置。林分初查时要顺着林区自然界线、道路对林分进行目测调查。调查松树林分是否有发黄、黄褐、红褐色甚至整株死亡现象，枯死针叶不脱落，树干用刀砍，无树脂流出，材质干枯蓝变；调查松树干部有无天牛羽化孔、侵入孔、蛀道等痕迹。对初查中发现可疑林分的要求查明死亡植株的分布地点、数量、树龄、立地环境、外观症状等，需进行实验室鉴定的要按照技术要求采样送检。需要进一步鉴定确认的采样及时送检有关部门，并按照林业有害生物防控技术规程指导做好应急处置，并以此为中心向周围林区做好排查工作。</w:t>
                  </w:r>
                </w:p>
                <w:p>
                  <w:pPr>
                    <w:pStyle w:val="null3"/>
                  </w:pPr>
                  <w:r>
                    <w:rPr>
                      <w:rFonts w:ascii="仿宋_GB2312" w:hAnsi="仿宋_GB2312" w:cs="仿宋_GB2312" w:eastAsia="仿宋_GB2312"/>
                    </w:rPr>
                    <w:t>3、对突发虫情灾害进行预防性防治：</w:t>
                  </w:r>
                </w:p>
                <w:p>
                  <w:pPr>
                    <w:pStyle w:val="null3"/>
                  </w:pPr>
                  <w:r>
                    <w:rPr>
                      <w:rFonts w:ascii="仿宋_GB2312" w:hAnsi="仿宋_GB2312" w:cs="仿宋_GB2312" w:eastAsia="仿宋_GB2312"/>
                    </w:rPr>
                    <w:t>加强境内美国白蛾和松材线虫病监测，积极开展寄主林分、媒介昆虫进行有针对性预防性防治。重点风险区采取高压喷雾或无人机防治等方式实施；村庄周边、苗圃密集区域、木材加工企业采取人员巡查、人工处置、投放天敌昆虫等形式，防止外来可疑病虫传入。主要防治区域为美国白蛾和松材线虫病风险区及周边林分，累计防治面积为1万亩。</w:t>
                  </w:r>
                </w:p>
                <w:p>
                  <w:pPr>
                    <w:pStyle w:val="null3"/>
                  </w:pPr>
                  <w:r>
                    <w:rPr>
                      <w:rFonts w:ascii="仿宋_GB2312" w:hAnsi="仿宋_GB2312" w:cs="仿宋_GB2312" w:eastAsia="仿宋_GB2312"/>
                    </w:rPr>
                    <w:t>4、合理使用无公害药剂，多种方式互补防治：</w:t>
                  </w:r>
                </w:p>
                <w:p>
                  <w:pPr>
                    <w:pStyle w:val="null3"/>
                  </w:pPr>
                  <w:r>
                    <w:rPr>
                      <w:rFonts w:ascii="仿宋_GB2312" w:hAnsi="仿宋_GB2312" w:cs="仿宋_GB2312" w:eastAsia="仿宋_GB2312"/>
                    </w:rPr>
                    <w:t>对重点区域可能发生美国白蛾和松材线虫病疫情的道路、林带、片林、房前屋后等重点防控区开展预防性药剂防治，药剂使用方式包括高压喷雾、打孔注药、无人机喷淋防治等，由现场踏查人员根据踏查结果具体而定，综合考虑林分密度、天气因素、人为活动范围等。药剂选择要十分注意对生态环境的影响和安全性，主要选择仿生、生物药剂和植物性杀虫剂，禁止使用国家限制使用的高毒、高残留农药，落实好安全用药规定和防治人员安全措施，做好喷药区域人员、禽畜的防范工作。坚持安全用药，有效防治，多措并举有效控制病虫害危害。</w:t>
                  </w:r>
                </w:p>
                <w:p>
                  <w:pPr>
                    <w:pStyle w:val="null3"/>
                  </w:pPr>
                  <w:r>
                    <w:rPr>
                      <w:rFonts w:ascii="仿宋_GB2312" w:hAnsi="仿宋_GB2312" w:cs="仿宋_GB2312" w:eastAsia="仿宋_GB2312"/>
                      <w:b/>
                    </w:rPr>
                    <w:t>五、保障措施：</w:t>
                  </w:r>
                </w:p>
                <w:p>
                  <w:pPr>
                    <w:pStyle w:val="null3"/>
                  </w:pPr>
                  <w:r>
                    <w:rPr>
                      <w:rFonts w:ascii="仿宋_GB2312" w:hAnsi="仿宋_GB2312" w:cs="仿宋_GB2312" w:eastAsia="仿宋_GB2312"/>
                    </w:rPr>
                    <w:t>1、加强项目监管。成立项目建设领导小组。由有防治作业相关资质的防治公司负责实施，项目建设领导小组做好项目进度管理、质量管理和防控效果监管，督促项目实施按照计划开展。</w:t>
                  </w:r>
                </w:p>
                <w:p>
                  <w:pPr>
                    <w:pStyle w:val="null3"/>
                  </w:pPr>
                  <w:r>
                    <w:rPr>
                      <w:rFonts w:ascii="仿宋_GB2312" w:hAnsi="仿宋_GB2312" w:cs="仿宋_GB2312" w:eastAsia="仿宋_GB2312"/>
                    </w:rPr>
                    <w:t>2、严格按照实施方案进行施工。坚持普查和防治相结合，明确药剂防治范围、规模，制定详细的防治计划，提高药剂防治效率，保障防控效果。</w:t>
                  </w:r>
                </w:p>
                <w:p>
                  <w:pPr>
                    <w:pStyle w:val="null3"/>
                  </w:pPr>
                  <w:r>
                    <w:rPr>
                      <w:rFonts w:ascii="仿宋_GB2312" w:hAnsi="仿宋_GB2312" w:cs="仿宋_GB2312" w:eastAsia="仿宋_GB2312"/>
                    </w:rPr>
                    <w:t>3、坚持安全施药。按照《西安市秦岭生态环境保护条例》要求，做好药剂、防治药械使用知识培训和安全生产教育，坚持安全用药，防止监测普查过程对林区生态环境造成环境污染。</w:t>
                  </w:r>
                </w:p>
                <w:p>
                  <w:pPr>
                    <w:pStyle w:val="null3"/>
                  </w:pPr>
                  <w:r>
                    <w:rPr>
                      <w:rFonts w:ascii="仿宋_GB2312" w:hAnsi="仿宋_GB2312" w:cs="仿宋_GB2312" w:eastAsia="仿宋_GB2312"/>
                    </w:rPr>
                    <w:t>4、及时做好防治效果调查。对防治效果不理想的林地及时进行补防，确保防治技术指标的完成，并认真建立防治档案，为今后防控工作提供科学依据。</w:t>
                  </w:r>
                </w:p>
                <w:p>
                  <w:pPr>
                    <w:pStyle w:val="null3"/>
                  </w:pPr>
                  <w:r>
                    <w:rPr>
                      <w:rFonts w:ascii="仿宋_GB2312" w:hAnsi="仿宋_GB2312" w:cs="仿宋_GB2312" w:eastAsia="仿宋_GB2312"/>
                    </w:rPr>
                    <w:t>5、加强项目资金管理。项目建设资金管理实行专款专用，专账管理，严格按照项目管理要求实施。</w:t>
                  </w:r>
                </w:p>
                <w:p>
                  <w:pPr>
                    <w:pStyle w:val="null3"/>
                  </w:pPr>
                  <w:r>
                    <w:rPr>
                      <w:rFonts w:ascii="仿宋_GB2312" w:hAnsi="仿宋_GB2312" w:cs="仿宋_GB2312" w:eastAsia="仿宋_GB2312"/>
                      <w:b/>
                    </w:rPr>
                    <w:t>六、清单</w:t>
                  </w:r>
                </w:p>
                <w:tbl>
                  <w:tblPr>
                    <w:tblBorders>
                      <w:top w:val="single"/>
                      <w:left w:val="single"/>
                      <w:bottom w:val="single"/>
                      <w:right w:val="single"/>
                      <w:insideH w:val="single"/>
                      <w:insideV w:val="single"/>
                    </w:tblBorders>
                  </w:tblPr>
                  <w:tblGrid>
                    <w:gridCol w:w="106"/>
                    <w:gridCol w:w="106"/>
                    <w:gridCol w:w="106"/>
                    <w:gridCol w:w="106"/>
                  </w:tblGrid>
                  <w:tr>
                    <w:tc>
                      <w:tcPr>
                        <w:tcW w:type="dxa" w:w="106"/>
                      </w:tcPr>
                      <w:p>
                        <w:pPr>
                          <w:pStyle w:val="null3"/>
                        </w:pPr>
                        <w:r>
                          <w:rPr>
                            <w:rFonts w:ascii="仿宋_GB2312" w:hAnsi="仿宋_GB2312" w:cs="仿宋_GB2312" w:eastAsia="仿宋_GB2312"/>
                            <w:b/>
                          </w:rPr>
                          <w:t>序号</w:t>
                        </w:r>
                      </w:p>
                    </w:tc>
                    <w:tc>
                      <w:tcPr>
                        <w:tcW w:type="dxa" w:w="106"/>
                      </w:tcPr>
                      <w:p>
                        <w:pPr>
                          <w:pStyle w:val="null3"/>
                        </w:pPr>
                        <w:r>
                          <w:rPr>
                            <w:rFonts w:ascii="仿宋_GB2312" w:hAnsi="仿宋_GB2312" w:cs="仿宋_GB2312" w:eastAsia="仿宋_GB2312"/>
                            <w:b/>
                          </w:rPr>
                          <w:t>项目</w:t>
                        </w:r>
                      </w:p>
                    </w:tc>
                    <w:tc>
                      <w:tcPr>
                        <w:tcW w:type="dxa" w:w="106"/>
                      </w:tcPr>
                      <w:p>
                        <w:pPr>
                          <w:pStyle w:val="null3"/>
                        </w:pPr>
                        <w:r>
                          <w:rPr>
                            <w:rFonts w:ascii="仿宋_GB2312" w:hAnsi="仿宋_GB2312" w:cs="仿宋_GB2312" w:eastAsia="仿宋_GB2312"/>
                            <w:b/>
                          </w:rPr>
                          <w:t>建设内容</w:t>
                        </w:r>
                      </w:p>
                    </w:tc>
                    <w:tc>
                      <w:tcPr>
                        <w:tcW w:type="dxa" w:w="106"/>
                      </w:tcPr>
                      <w:p>
                        <w:pPr>
                          <w:pStyle w:val="null3"/>
                        </w:pPr>
                        <w:r>
                          <w:rPr>
                            <w:rFonts w:ascii="仿宋_GB2312" w:hAnsi="仿宋_GB2312" w:cs="仿宋_GB2312" w:eastAsia="仿宋_GB2312"/>
                            <w:b/>
                          </w:rPr>
                          <w:t>数量</w:t>
                        </w:r>
                      </w:p>
                    </w:tc>
                  </w:tr>
                  <w:tr>
                    <w:tc>
                      <w:tcPr>
                        <w:tcW w:type="dxa" w:w="106"/>
                      </w:tcPr>
                      <w:p>
                        <w:pPr>
                          <w:pStyle w:val="null3"/>
                        </w:pPr>
                        <w:r>
                          <w:rPr>
                            <w:rFonts w:ascii="仿宋_GB2312" w:hAnsi="仿宋_GB2312" w:cs="仿宋_GB2312" w:eastAsia="仿宋_GB2312"/>
                          </w:rPr>
                          <w:t>1</w:t>
                        </w:r>
                      </w:p>
                    </w:tc>
                    <w:tc>
                      <w:tcPr>
                        <w:tcW w:type="dxa" w:w="106"/>
                      </w:tcPr>
                      <w:p>
                        <w:pPr>
                          <w:pStyle w:val="null3"/>
                        </w:pPr>
                        <w:r>
                          <w:rPr>
                            <w:rFonts w:ascii="仿宋_GB2312" w:hAnsi="仿宋_GB2312" w:cs="仿宋_GB2312" w:eastAsia="仿宋_GB2312"/>
                          </w:rPr>
                          <w:t>人工普查</w:t>
                        </w:r>
                      </w:p>
                    </w:tc>
                    <w:tc>
                      <w:tcPr>
                        <w:tcW w:type="dxa" w:w="106"/>
                      </w:tcPr>
                      <w:p>
                        <w:pPr>
                          <w:pStyle w:val="null3"/>
                        </w:pPr>
                        <w:r>
                          <w:rPr>
                            <w:rFonts w:ascii="仿宋_GB2312" w:hAnsi="仿宋_GB2312" w:cs="仿宋_GB2312" w:eastAsia="仿宋_GB2312"/>
                          </w:rPr>
                          <w:t>美国白蛾和松材线虫病疫情监测普查</w:t>
                        </w:r>
                      </w:p>
                    </w:tc>
                    <w:tc>
                      <w:tcPr>
                        <w:tcW w:type="dxa" w:w="106"/>
                      </w:tcPr>
                      <w:p>
                        <w:pPr>
                          <w:pStyle w:val="null3"/>
                        </w:pPr>
                        <w:r>
                          <w:rPr>
                            <w:rFonts w:ascii="仿宋_GB2312" w:hAnsi="仿宋_GB2312" w:cs="仿宋_GB2312" w:eastAsia="仿宋_GB2312"/>
                          </w:rPr>
                          <w:t>60万亩</w:t>
                        </w:r>
                      </w:p>
                    </w:tc>
                  </w:tr>
                  <w:tr>
                    <w:tc>
                      <w:tcPr>
                        <w:tcW w:type="dxa" w:w="106"/>
                        <w:vMerge w:val="restart"/>
                      </w:tcPr>
                      <w:p>
                        <w:pPr>
                          <w:pStyle w:val="null3"/>
                        </w:pPr>
                        <w:r>
                          <w:rPr>
                            <w:rFonts w:ascii="仿宋_GB2312" w:hAnsi="仿宋_GB2312" w:cs="仿宋_GB2312" w:eastAsia="仿宋_GB2312"/>
                          </w:rPr>
                          <w:t>2</w:t>
                        </w:r>
                      </w:p>
                    </w:tc>
                    <w:tc>
                      <w:tcPr>
                        <w:tcW w:type="dxa" w:w="106"/>
                        <w:vMerge w:val="restart"/>
                      </w:tcPr>
                      <w:p>
                        <w:pPr>
                          <w:pStyle w:val="null3"/>
                        </w:pPr>
                        <w:r>
                          <w:rPr>
                            <w:rFonts w:ascii="仿宋_GB2312" w:hAnsi="仿宋_GB2312" w:cs="仿宋_GB2312" w:eastAsia="仿宋_GB2312"/>
                          </w:rPr>
                          <w:t>诱捕器监测</w:t>
                        </w:r>
                      </w:p>
                    </w:tc>
                    <w:tc>
                      <w:tcPr>
                        <w:tcW w:type="dxa" w:w="106"/>
                      </w:tcPr>
                      <w:p>
                        <w:pPr>
                          <w:pStyle w:val="null3"/>
                        </w:pPr>
                        <w:r>
                          <w:rPr>
                            <w:rFonts w:ascii="仿宋_GB2312" w:hAnsi="仿宋_GB2312" w:cs="仿宋_GB2312" w:eastAsia="仿宋_GB2312"/>
                          </w:rPr>
                          <w:t>美国白蛾诱捕器</w:t>
                        </w:r>
                      </w:p>
                    </w:tc>
                    <w:tc>
                      <w:tcPr>
                        <w:tcW w:type="dxa" w:w="106"/>
                      </w:tcPr>
                      <w:p>
                        <w:pPr>
                          <w:pStyle w:val="null3"/>
                        </w:pPr>
                        <w:r>
                          <w:rPr>
                            <w:rFonts w:ascii="仿宋_GB2312" w:hAnsi="仿宋_GB2312" w:cs="仿宋_GB2312" w:eastAsia="仿宋_GB2312"/>
                          </w:rPr>
                          <w:t>500台</w:t>
                        </w:r>
                      </w:p>
                    </w:tc>
                  </w:tr>
                  <w:tr>
                    <w:tc>
                      <w:tcPr>
                        <w:tcW w:type="dxa" w:w="106"/>
                        <w:vMerge/>
                      </w:tcPr>
                      <w:p/>
                    </w:tc>
                    <w:tc>
                      <w:tcPr>
                        <w:tcW w:type="dxa" w:w="106"/>
                        <w:vMerge/>
                      </w:tcPr>
                      <w:p/>
                    </w:tc>
                    <w:tc>
                      <w:tcPr>
                        <w:tcW w:type="dxa" w:w="106"/>
                      </w:tcPr>
                      <w:p>
                        <w:pPr>
                          <w:pStyle w:val="null3"/>
                        </w:pPr>
                        <w:r>
                          <w:rPr>
                            <w:rFonts w:ascii="仿宋_GB2312" w:hAnsi="仿宋_GB2312" w:cs="仿宋_GB2312" w:eastAsia="仿宋_GB2312"/>
                          </w:rPr>
                          <w:t>松褐天牛诱捕器</w:t>
                        </w:r>
                      </w:p>
                    </w:tc>
                    <w:tc>
                      <w:tcPr>
                        <w:tcW w:type="dxa" w:w="106"/>
                      </w:tcPr>
                      <w:p>
                        <w:pPr>
                          <w:pStyle w:val="null3"/>
                        </w:pPr>
                        <w:r>
                          <w:rPr>
                            <w:rFonts w:ascii="仿宋_GB2312" w:hAnsi="仿宋_GB2312" w:cs="仿宋_GB2312" w:eastAsia="仿宋_GB2312"/>
                          </w:rPr>
                          <w:t>500台</w:t>
                        </w:r>
                      </w:p>
                    </w:tc>
                  </w:tr>
                  <w:tr>
                    <w:tc>
                      <w:tcPr>
                        <w:tcW w:type="dxa" w:w="106"/>
                      </w:tcPr>
                      <w:p>
                        <w:pPr>
                          <w:pStyle w:val="null3"/>
                        </w:pPr>
                        <w:r>
                          <w:rPr>
                            <w:rFonts w:ascii="仿宋_GB2312" w:hAnsi="仿宋_GB2312" w:cs="仿宋_GB2312" w:eastAsia="仿宋_GB2312"/>
                          </w:rPr>
                          <w:t>3</w:t>
                        </w:r>
                      </w:p>
                    </w:tc>
                    <w:tc>
                      <w:tcPr>
                        <w:tcW w:type="dxa" w:w="106"/>
                      </w:tcPr>
                      <w:p>
                        <w:pPr>
                          <w:pStyle w:val="null3"/>
                        </w:pPr>
                        <w:r>
                          <w:rPr>
                            <w:rFonts w:ascii="仿宋_GB2312" w:hAnsi="仿宋_GB2312" w:cs="仿宋_GB2312" w:eastAsia="仿宋_GB2312"/>
                          </w:rPr>
                          <w:t>药剂防治</w:t>
                        </w:r>
                      </w:p>
                    </w:tc>
                    <w:tc>
                      <w:tcPr>
                        <w:tcW w:type="dxa" w:w="106"/>
                      </w:tcPr>
                      <w:p>
                        <w:pPr>
                          <w:pStyle w:val="null3"/>
                        </w:pPr>
                        <w:r>
                          <w:rPr>
                            <w:rFonts w:ascii="仿宋_GB2312" w:hAnsi="仿宋_GB2312" w:cs="仿宋_GB2312" w:eastAsia="仿宋_GB2312"/>
                          </w:rPr>
                          <w:t>喷雾措施防治</w:t>
                        </w:r>
                      </w:p>
                    </w:tc>
                    <w:tc>
                      <w:tcPr>
                        <w:tcW w:type="dxa" w:w="106"/>
                      </w:tcPr>
                      <w:p>
                        <w:pPr>
                          <w:pStyle w:val="null3"/>
                        </w:pPr>
                        <w:r>
                          <w:rPr>
                            <w:rFonts w:ascii="仿宋_GB2312" w:hAnsi="仿宋_GB2312" w:cs="仿宋_GB2312" w:eastAsia="仿宋_GB2312"/>
                          </w:rPr>
                          <w:t>1万亩</w:t>
                        </w:r>
                      </w:p>
                    </w:tc>
                  </w:tr>
                </w:tbl>
                <w:p/>
              </w:tc>
              <w:tc>
                <w:tcPr>
                  <w:tcW w:type="dxa" w:w="638"/>
                </w:tcPr>
                <w:p>
                  <w:pPr>
                    <w:pStyle w:val="null3"/>
                  </w:pPr>
                  <w:r>
                    <w:rPr>
                      <w:rFonts w:ascii="仿宋_GB2312" w:hAnsi="仿宋_GB2312" w:cs="仿宋_GB2312" w:eastAsia="仿宋_GB2312"/>
                    </w:rPr>
                    <w:t>编辑删</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配备满足本项目各专业要求，根据人员及设备安排的科学性、合理性安排。</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配备满足本项目各专业要求，根据人员及设备安排的科学性、合理性安排</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150日历天（具体以合同签订为准）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达到国家现行法律法规及行业要求合格标准。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项目实施结束后，乙方报请甲方验收，并经主管部门验收合格后，在甲方处办理百分之九十五（95%）项目款的支付手续；</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剩余合同总金额百分之五（5%）作为质保金，自终验结束之日起12个月内，在无索赔争议的情况下，在甲方处办理百分之五（5%）项目款的支付手续。</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甲乙双方所有争议应先采取友好协商的解决方式。协商未达成一致意见的，甲乙双方均可向甲方所在地有管辖权的人民法院提起诉讼。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 至少包括资产负债表和利润表，成立时间至提 交响应文件截止时间不足一年的可提供成立后 任意时段的资产负债表），或其基本存款账户 开户银行出具的开标日期前六个月内资信证明 及基本存款账户开户许可证（基本存款账户信 息）(以上三种形式的资料提供任何一种即可） ； 供应商需在项目电子化交易系统中按要求上 传相应证明文件并进行电子签章。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 投标人认为需要提供的其它资料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投标人须具有独立承担民事责任能力的法人或其他组织，提供营业执照或事业单位法人证书或自然人的身份证明；</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法定代表人及被授权人</w:t>
            </w:r>
          </w:p>
        </w:tc>
        <w:tc>
          <w:tcPr>
            <w:tcW w:type="dxa" w:w="3322"/>
          </w:tcPr>
          <w:p>
            <w:pPr>
              <w:pStyle w:val="null3"/>
            </w:pPr>
            <w:r>
              <w:rPr>
                <w:rFonts w:ascii="仿宋_GB2312" w:hAnsi="仿宋_GB2312" w:cs="仿宋_GB2312" w:eastAsia="仿宋_GB2312"/>
              </w:rPr>
              <w:t>具备合格有效的法定代表人授权书及被授权人身份证（法定代表人参加需提供法定代表人资格证明书和身份证）；</w:t>
            </w:r>
          </w:p>
        </w:tc>
        <w:tc>
          <w:tcPr>
            <w:tcW w:type="dxa" w:w="1661"/>
          </w:tcPr>
          <w:p>
            <w:pPr>
              <w:pStyle w:val="null3"/>
            </w:pPr>
            <w:r>
              <w:rPr>
                <w:rFonts w:ascii="仿宋_GB2312" w:hAnsi="仿宋_GB2312" w:cs="仿宋_GB2312" w:eastAsia="仿宋_GB2312"/>
              </w:rPr>
              <w:t>响应文件封面 法定代表人资格证明 资格证明文件 法定代表人授权委托书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提供2023年度或2024年度投标人的财务报告或开标前六个月内其基本账户银行出具的资信证明；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投标人需提供投标截至日期前6个月内任意一个月的完税凭证或税务机关开具的完税证明（任意税种）；依法免税的应提供相关文件证明；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 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供应商应提供《陕西省林业有害生物防治资质证书》资质等级丁级及以上资质；</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设备一览表 资格证明文件 项目团队人员 服务承诺 项目实施总体方案 响应函 投标人认为需要提供的其它资料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（www.creditchina.gov.cn）、中国政府采购网（www.ccgp.gov.cn）查询结果为准，提供网站截图并加盖投标人公章）；</w:t>
            </w:r>
          </w:p>
        </w:tc>
        <w:tc>
          <w:tcPr>
            <w:tcW w:type="dxa" w:w="1661"/>
          </w:tcPr>
          <w:p>
            <w:pPr>
              <w:pStyle w:val="null3"/>
            </w:pPr>
            <w:r>
              <w:rPr>
                <w:rFonts w:ascii="仿宋_GB2312" w:hAnsi="仿宋_GB2312" w:cs="仿宋_GB2312" w:eastAsia="仿宋_GB2312"/>
              </w:rPr>
              <w:t>资格证明文件 中小企业声明函 残疾人福利性单位声明函 响应函 投标人认为需要提供的其它资料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 响应函 投标人认为需要提供的其它资料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 （2）磋商报价一览表填写符合要求； （3）计量单位、报价货币均符合磋商文件要求； （4）未超过采购预算或磋商文件规定的最高限价。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服务承诺 项目实施总体方案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报价表 投标人认为需要提供的其它资料 业绩一览表 响应文件封面 设备一览表 项目团队人员 项目实施总体方案 服务承诺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响应文件内容是否齐全，格式是否符合招标文 件规定的格式要求；</w:t>
            </w:r>
          </w:p>
        </w:tc>
        <w:tc>
          <w:tcPr>
            <w:tcW w:type="dxa" w:w="1661"/>
          </w:tcPr>
          <w:p>
            <w:pPr>
              <w:pStyle w:val="null3"/>
            </w:pPr>
            <w:r>
              <w:rPr>
                <w:rFonts w:ascii="仿宋_GB2312" w:hAnsi="仿宋_GB2312" w:cs="仿宋_GB2312" w:eastAsia="仿宋_GB2312"/>
              </w:rPr>
              <w:t>中小企业声明函 报价表 投标人认为需要提供的其它资料 业绩一览表 响应文件封面 设备一览表 项目团队人员 项目实施总体方案 服务承诺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项目实施总体方案</w:t>
            </w:r>
          </w:p>
        </w:tc>
        <w:tc>
          <w:tcPr>
            <w:tcW w:type="dxa" w:w="2492"/>
          </w:tcPr>
          <w:p>
            <w:pPr>
              <w:pStyle w:val="null3"/>
            </w:pPr>
            <w:r>
              <w:rPr>
                <w:rFonts w:ascii="仿宋_GB2312" w:hAnsi="仿宋_GB2312" w:cs="仿宋_GB2312" w:eastAsia="仿宋_GB2312"/>
              </w:rPr>
              <w:t>针对本项目提供具体详细的服务方案，方案全面、科学合理、 规范，完全符合项目需求的，计（10-50）分；方案明确，有一定合理性，基本符合项目需求的，计（5-10）分；方案粗略或有明显缺陷， 无法满足项目需求的，计（0-5）分。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项目实施总体方案</w:t>
            </w:r>
          </w:p>
        </w:tc>
      </w:tr>
      <w:tr>
        <w:tc>
          <w:tcPr>
            <w:tcW w:type="dxa" w:w="831"/>
            <w:vMerge/>
          </w:tcPr>
          <w:p/>
        </w:tc>
        <w:tc>
          <w:tcPr>
            <w:tcW w:type="dxa" w:w="1661"/>
          </w:tcPr>
          <w:p>
            <w:pPr>
              <w:pStyle w:val="null3"/>
            </w:pPr>
            <w:r>
              <w:rPr>
                <w:rFonts w:ascii="仿宋_GB2312" w:hAnsi="仿宋_GB2312" w:cs="仿宋_GB2312" w:eastAsia="仿宋_GB2312"/>
              </w:rPr>
              <w:t>人员及设备配置</w:t>
            </w:r>
          </w:p>
        </w:tc>
        <w:tc>
          <w:tcPr>
            <w:tcW w:type="dxa" w:w="2492"/>
          </w:tcPr>
          <w:p>
            <w:pPr>
              <w:pStyle w:val="null3"/>
            </w:pPr>
            <w:r>
              <w:rPr>
                <w:rFonts w:ascii="仿宋_GB2312" w:hAnsi="仿宋_GB2312" w:cs="仿宋_GB2312" w:eastAsia="仿宋_GB2312"/>
              </w:rPr>
              <w:t>人员及设备配备满足本项目各专业要求，根据人员及设备安排的科学性、合理性安排赋分：数量充足安排合理得10-15分，基本满足项目要求得0-10分，配备严重不足无法满足项目需求的不得分。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w:t>
            </w:r>
          </w:p>
          <w:p>
            <w:pPr>
              <w:pStyle w:val="null3"/>
            </w:pPr>
            <w:r>
              <w:rPr>
                <w:rFonts w:ascii="仿宋_GB2312" w:hAnsi="仿宋_GB2312" w:cs="仿宋_GB2312" w:eastAsia="仿宋_GB2312"/>
              </w:rPr>
              <w:t>设备一览表</w:t>
            </w:r>
          </w:p>
          <w:p>
            <w:pPr>
              <w:pStyle w:val="null3"/>
            </w:pPr>
            <w:r>
              <w:rPr>
                <w:rFonts w:ascii="仿宋_GB2312" w:hAnsi="仿宋_GB2312" w:cs="仿宋_GB2312" w:eastAsia="仿宋_GB2312"/>
              </w:rPr>
              <w:t>投标人认为需要提供的其它资料</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针对本项目有明确的服务承诺和合理化建议并提供服务承诺和保证措施。承诺和保证措施完善、合理、可行，根据投标情况计赋分，优得15-19分，良好得8-15分，一般得0-8分；不合理或无承诺不得分。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服务承诺</w:t>
            </w:r>
          </w:p>
          <w:p>
            <w:pPr>
              <w:pStyle w:val="null3"/>
            </w:pPr>
            <w:r>
              <w:rPr>
                <w:rFonts w:ascii="仿宋_GB2312" w:hAnsi="仿宋_GB2312" w:cs="仿宋_GB2312" w:eastAsia="仿宋_GB2312"/>
              </w:rPr>
              <w:t>投标人认为需要提供的其它资料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提供供应商近三年类似项目合同（以合同签订日期为准），每提供1个得2分，最高得6分。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（1）供应商的投标总价超过招标预算金额的视为废标，不再参与下一步评审。 （2）评标基准价：所有有效投标报价的最低报价作为评标基准价。 （3）磋商报价得分=（磋商基准价/最终磋商报价）×10的公式计算得分。 符合竞争性磋商文件规定的监狱企业、残疾人企业优惠条件的投标人，价格给予政策扣除，用扣除后的价格参与评审。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详见附件：法定代表人资格证明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详见附件：项目实施总体方案</w:t>
      </w:r>
    </w:p>
    <w:p>
      <w:pPr>
        <w:pStyle w:val="null3"/>
        <w:ind w:firstLine="960"/>
      </w:pPr>
      <w:r>
        <w:rPr>
          <w:rFonts w:ascii="仿宋_GB2312" w:hAnsi="仿宋_GB2312" w:cs="仿宋_GB2312" w:eastAsia="仿宋_GB2312"/>
        </w:rPr>
        <w:t>详见附件：项目团队人员</w:t>
      </w:r>
    </w:p>
    <w:p>
      <w:pPr>
        <w:pStyle w:val="null3"/>
        <w:ind w:firstLine="960"/>
      </w:pPr>
      <w:r>
        <w:rPr>
          <w:rFonts w:ascii="仿宋_GB2312" w:hAnsi="仿宋_GB2312" w:cs="仿宋_GB2312" w:eastAsia="仿宋_GB2312"/>
        </w:rPr>
        <w:t>详见附件：设备一览表</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详见附件：投标人认为需要提供的其它资料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