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D083A1">
      <w:pPr>
        <w:pStyle w:val="5"/>
        <w:numPr>
          <w:ilvl w:val="0"/>
          <w:numId w:val="0"/>
        </w:numPr>
        <w:jc w:val="center"/>
        <w:rPr>
          <w:rFonts w:hint="eastAsia" w:ascii="宋体" w:hAnsi="宋体" w:eastAsia="宋体" w:cs="宋体"/>
          <w:b/>
          <w:bCs/>
          <w:color w:val="auto"/>
          <w:kern w:val="44"/>
          <w:sz w:val="32"/>
          <w:szCs w:val="32"/>
          <w:highlight w:val="none"/>
          <w:lang w:val="en-US" w:eastAsia="zh-CN"/>
        </w:rPr>
      </w:pPr>
      <w:r>
        <w:rPr>
          <w:rFonts w:hint="eastAsia" w:ascii="宋体" w:hAnsi="宋体" w:eastAsia="宋体" w:cs="宋体"/>
          <w:b/>
          <w:bCs/>
          <w:color w:val="auto"/>
          <w:kern w:val="44"/>
          <w:sz w:val="32"/>
          <w:szCs w:val="32"/>
          <w:highlight w:val="none"/>
          <w:lang w:val="en-US" w:eastAsia="zh-CN"/>
        </w:rPr>
        <w:t>采购合同</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6"/>
        <w:gridCol w:w="6376"/>
      </w:tblGrid>
      <w:tr w14:paraId="4C4D6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46" w:type="dxa"/>
            <w:tcBorders>
              <w:top w:val="nil"/>
              <w:left w:val="nil"/>
              <w:bottom w:val="nil"/>
              <w:right w:val="nil"/>
            </w:tcBorders>
            <w:noWrap w:val="0"/>
            <w:vAlign w:val="top"/>
          </w:tcPr>
          <w:p w14:paraId="031169A7">
            <w:pPr>
              <w:spacing w:line="480" w:lineRule="auto"/>
              <w:jc w:val="both"/>
              <w:rPr>
                <w:rFonts w:hint="eastAsia"/>
                <w:sz w:val="21"/>
                <w:szCs w:val="21"/>
                <w:vertAlign w:val="baseline"/>
                <w:lang w:val="en-US" w:eastAsia="zh-CN"/>
              </w:rPr>
            </w:pPr>
            <w:r>
              <w:rPr>
                <w:rFonts w:hint="eastAsia" w:ascii="宋体" w:hAnsi="宋体" w:eastAsia="宋体" w:cs="宋体"/>
                <w:b/>
                <w:color w:val="auto"/>
                <w:sz w:val="24"/>
                <w:szCs w:val="24"/>
                <w:highlight w:val="none"/>
              </w:rPr>
              <w:t>甲方</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采购人）</w:t>
            </w:r>
            <w:r>
              <w:rPr>
                <w:rFonts w:hint="eastAsia" w:ascii="宋体" w:hAnsi="宋体" w:eastAsia="宋体" w:cs="宋体"/>
                <w:b/>
                <w:color w:val="auto"/>
                <w:sz w:val="24"/>
                <w:szCs w:val="24"/>
                <w:highlight w:val="none"/>
              </w:rPr>
              <w:t>：</w:t>
            </w:r>
          </w:p>
        </w:tc>
        <w:tc>
          <w:tcPr>
            <w:tcW w:w="6376" w:type="dxa"/>
            <w:tcBorders>
              <w:top w:val="nil"/>
              <w:left w:val="nil"/>
              <w:bottom w:val="nil"/>
              <w:right w:val="nil"/>
            </w:tcBorders>
            <w:noWrap w:val="0"/>
            <w:vAlign w:val="top"/>
          </w:tcPr>
          <w:p w14:paraId="41EE54EF">
            <w:pPr>
              <w:spacing w:line="480" w:lineRule="auto"/>
              <w:jc w:val="both"/>
              <w:rPr>
                <w:rFonts w:hint="default"/>
                <w:sz w:val="21"/>
                <w:szCs w:val="21"/>
                <w:u w:val="single"/>
                <w:vertAlign w:val="baseline"/>
                <w:lang w:val="en-US" w:eastAsia="zh-CN"/>
              </w:rPr>
            </w:pPr>
            <w:r>
              <w:rPr>
                <w:rFonts w:hint="eastAsia"/>
                <w:sz w:val="21"/>
                <w:szCs w:val="21"/>
                <w:u w:val="single"/>
                <w:vertAlign w:val="baseline"/>
                <w:lang w:val="en-US" w:eastAsia="zh-CN"/>
              </w:rPr>
              <w:t xml:space="preserve">                                           </w:t>
            </w:r>
          </w:p>
        </w:tc>
      </w:tr>
      <w:tr w14:paraId="5CED5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2146" w:type="dxa"/>
            <w:tcBorders>
              <w:top w:val="nil"/>
              <w:left w:val="nil"/>
              <w:bottom w:val="nil"/>
              <w:right w:val="nil"/>
            </w:tcBorders>
            <w:noWrap w:val="0"/>
            <w:vAlign w:val="top"/>
          </w:tcPr>
          <w:p w14:paraId="10B6EB61">
            <w:pPr>
              <w:spacing w:line="480" w:lineRule="auto"/>
              <w:jc w:val="both"/>
              <w:rPr>
                <w:rFonts w:hint="eastAsia"/>
                <w:sz w:val="21"/>
                <w:szCs w:val="21"/>
                <w:vertAlign w:val="baseline"/>
                <w:lang w:val="en-US" w:eastAsia="zh-CN"/>
              </w:rPr>
            </w:pPr>
            <w:r>
              <w:rPr>
                <w:rFonts w:hint="eastAsia" w:ascii="宋体" w:hAnsi="宋体" w:eastAsia="宋体" w:cs="宋体"/>
                <w:b/>
                <w:color w:val="auto"/>
                <w:sz w:val="24"/>
                <w:szCs w:val="24"/>
                <w:highlight w:val="none"/>
              </w:rPr>
              <w:t>乙方</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供应商）</w:t>
            </w:r>
            <w:r>
              <w:rPr>
                <w:rFonts w:hint="eastAsia" w:ascii="宋体" w:hAnsi="宋体" w:eastAsia="宋体" w:cs="宋体"/>
                <w:b/>
                <w:color w:val="auto"/>
                <w:sz w:val="24"/>
                <w:szCs w:val="24"/>
                <w:highlight w:val="none"/>
              </w:rPr>
              <w:t>：</w:t>
            </w:r>
          </w:p>
        </w:tc>
        <w:tc>
          <w:tcPr>
            <w:tcW w:w="6376" w:type="dxa"/>
            <w:tcBorders>
              <w:top w:val="nil"/>
              <w:left w:val="nil"/>
              <w:bottom w:val="nil"/>
              <w:right w:val="nil"/>
            </w:tcBorders>
            <w:noWrap w:val="0"/>
            <w:vAlign w:val="top"/>
          </w:tcPr>
          <w:p w14:paraId="692C5C43">
            <w:pPr>
              <w:spacing w:line="480" w:lineRule="auto"/>
              <w:jc w:val="both"/>
              <w:rPr>
                <w:rFonts w:hint="eastAsia"/>
                <w:sz w:val="21"/>
                <w:szCs w:val="21"/>
                <w:vertAlign w:val="baseline"/>
                <w:lang w:val="en-US" w:eastAsia="zh-CN"/>
              </w:rPr>
            </w:pPr>
            <w:r>
              <w:rPr>
                <w:rFonts w:hint="eastAsia"/>
                <w:sz w:val="21"/>
                <w:szCs w:val="21"/>
                <w:u w:val="single"/>
                <w:vertAlign w:val="baseline"/>
                <w:lang w:val="en-US" w:eastAsia="zh-CN"/>
              </w:rPr>
              <w:t xml:space="preserve">                                           </w:t>
            </w:r>
          </w:p>
        </w:tc>
      </w:tr>
    </w:tbl>
    <w:p w14:paraId="6023F77C">
      <w:pPr>
        <w:spacing w:line="360" w:lineRule="auto"/>
        <w:ind w:firstLine="0" w:firstLineChars="0"/>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color w:val="auto"/>
          <w:sz w:val="21"/>
          <w:szCs w:val="21"/>
          <w:highlight w:val="none"/>
        </w:rPr>
        <w:t xml:space="preserve">    依据《中华人民共和国政府采购法》《中华人民共和国合同法》等法律、法规规定,按照采购文件规定条款和中标单位承诺,甲乙双方签订本合同。</w:t>
      </w:r>
    </w:p>
    <w:p w14:paraId="3D9FB159">
      <w:pPr>
        <w:spacing w:line="360" w:lineRule="auto"/>
        <w:ind w:firstLine="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一、项目概况</w:t>
      </w:r>
    </w:p>
    <w:p w14:paraId="588D268A">
      <w:pPr>
        <w:spacing w:line="36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23722903">
      <w:pPr>
        <w:spacing w:line="360" w:lineRule="auto"/>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项目地点：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0DB7DB4B">
      <w:pPr>
        <w:spacing w:line="360" w:lineRule="auto"/>
        <w:ind w:firstLine="0" w:firstLineChars="0"/>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资金来源：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p>
    <w:p w14:paraId="7CD96AA0">
      <w:pPr>
        <w:spacing w:line="360" w:lineRule="auto"/>
        <w:ind w:firstLine="0" w:firstLineChars="0"/>
        <w:rPr>
          <w:rFonts w:hint="eastAsia" w:ascii="宋体" w:hAnsi="宋体" w:eastAsia="宋体" w:cs="宋体"/>
          <w:b/>
          <w:bCs/>
          <w:color w:val="auto"/>
          <w:kern w:val="0"/>
          <w:sz w:val="24"/>
          <w:szCs w:val="24"/>
          <w:highlight w:val="none"/>
        </w:rPr>
      </w:pPr>
      <w:r>
        <w:rPr>
          <w:rFonts w:hint="eastAsia" w:ascii="宋体" w:hAnsi="宋体" w:cs="宋体"/>
          <w:color w:val="auto"/>
          <w:sz w:val="21"/>
          <w:szCs w:val="21"/>
          <w:highlight w:val="none"/>
          <w:lang w:val="en-US" w:eastAsia="zh-CN"/>
        </w:rPr>
        <w:t>二</w:t>
      </w:r>
      <w:r>
        <w:rPr>
          <w:rFonts w:hint="eastAsia" w:ascii="宋体" w:hAnsi="宋体" w:eastAsia="宋体" w:cs="宋体"/>
          <w:b/>
          <w:bCs/>
          <w:color w:val="auto"/>
          <w:kern w:val="0"/>
          <w:sz w:val="24"/>
          <w:szCs w:val="24"/>
          <w:highlight w:val="none"/>
        </w:rPr>
        <w:t>、</w:t>
      </w:r>
      <w:r>
        <w:rPr>
          <w:rFonts w:hint="eastAsia"/>
          <w:b/>
          <w:bCs/>
          <w:sz w:val="24"/>
          <w:szCs w:val="24"/>
          <w:lang w:val="en-US" w:eastAsia="zh-CN"/>
        </w:rPr>
        <w:t>实施内容及清单</w:t>
      </w:r>
      <w:r>
        <w:rPr>
          <w:rFonts w:hint="eastAsia" w:ascii="宋体" w:hAnsi="宋体" w:eastAsia="宋体" w:cs="宋体"/>
          <w:b/>
          <w:bCs/>
          <w:color w:val="auto"/>
          <w:kern w:val="0"/>
          <w:sz w:val="24"/>
          <w:szCs w:val="24"/>
          <w:highlight w:val="none"/>
        </w:rPr>
        <w:t>：</w:t>
      </w:r>
    </w:p>
    <w:p w14:paraId="35FC9DFB">
      <w:pPr>
        <w:spacing w:line="360" w:lineRule="auto"/>
        <w:ind w:firstLine="420" w:firstLineChars="200"/>
        <w:rPr>
          <w:rFonts w:hint="eastAsia"/>
          <w:sz w:val="21"/>
          <w:szCs w:val="21"/>
        </w:rPr>
      </w:pPr>
      <w:r>
        <w:rPr>
          <w:rFonts w:hint="eastAsia"/>
          <w:sz w:val="21"/>
          <w:szCs w:val="21"/>
        </w:rPr>
        <w:t>本项目建设目标主要有</w:t>
      </w:r>
      <w:r>
        <w:rPr>
          <w:rFonts w:hint="eastAsia"/>
          <w:sz w:val="21"/>
          <w:szCs w:val="21"/>
          <w:lang w:val="en-US" w:eastAsia="zh-CN"/>
        </w:rPr>
        <w:t>三</w:t>
      </w:r>
      <w:r>
        <w:rPr>
          <w:rFonts w:hint="eastAsia"/>
          <w:sz w:val="21"/>
          <w:szCs w:val="21"/>
        </w:rPr>
        <w:t>项：一是在松林分布区架设松褐天牛诱捕器500台监控媒介昆虫虫情，平原地区架设美国白蛾诱捕器500台监测美国白蛾虫情；二是采取多轮次人工巡查方式监控境内林分有无感染病虫，有效累计普查面积60万亩，及时发布预警信息；三是对病虫危害林分及时采取预防性防治面积1万亩。</w:t>
      </w:r>
    </w:p>
    <w:p w14:paraId="75A528D7">
      <w:pPr>
        <w:pStyle w:val="2"/>
        <w:jc w:val="center"/>
        <w:rPr>
          <w:rFonts w:hint="default"/>
          <w:lang w:val="en-US" w:eastAsia="zh-CN"/>
        </w:rPr>
      </w:pPr>
      <w:bookmarkStart w:id="0" w:name="_GoBack"/>
      <w:bookmarkEnd w:id="0"/>
      <w:r>
        <w:rPr>
          <w:rFonts w:hint="eastAsia" w:ascii="宋体" w:hAnsi="宋体" w:eastAsia="宋体" w:cs="宋体"/>
          <w:b w:val="0"/>
          <w:bCs w:val="0"/>
          <w:sz w:val="21"/>
          <w:szCs w:val="21"/>
          <w:lang w:val="en-US" w:eastAsia="zh-CN"/>
        </w:rPr>
        <w:t>实施内容清单</w:t>
      </w:r>
    </w:p>
    <w:tbl>
      <w:tblPr>
        <w:tblStyle w:val="7"/>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1961"/>
        <w:gridCol w:w="3690"/>
        <w:gridCol w:w="1965"/>
      </w:tblGrid>
      <w:tr w14:paraId="0C7CF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3" w:type="dxa"/>
            <w:noWrap w:val="0"/>
            <w:vAlign w:val="center"/>
          </w:tcPr>
          <w:p w14:paraId="651B14AD">
            <w:pPr>
              <w:bidi w:val="0"/>
              <w:spacing w:line="360" w:lineRule="auto"/>
              <w:jc w:val="center"/>
              <w:rPr>
                <w:rFonts w:hint="eastAsia" w:ascii="宋体" w:hAnsi="宋体" w:eastAsia="宋体" w:cs="宋体"/>
                <w:b/>
                <w:bCs/>
                <w:sz w:val="22"/>
                <w:szCs w:val="22"/>
              </w:rPr>
            </w:pPr>
            <w:r>
              <w:rPr>
                <w:rFonts w:hint="eastAsia" w:ascii="宋体" w:hAnsi="宋体" w:eastAsia="宋体" w:cs="宋体"/>
                <w:b/>
                <w:bCs/>
                <w:sz w:val="22"/>
                <w:szCs w:val="22"/>
              </w:rPr>
              <w:t>序号</w:t>
            </w:r>
          </w:p>
        </w:tc>
        <w:tc>
          <w:tcPr>
            <w:tcW w:w="1961" w:type="dxa"/>
            <w:noWrap w:val="0"/>
            <w:vAlign w:val="center"/>
          </w:tcPr>
          <w:p w14:paraId="71FC7BC2">
            <w:pPr>
              <w:bidi w:val="0"/>
              <w:spacing w:line="360" w:lineRule="auto"/>
              <w:jc w:val="center"/>
              <w:rPr>
                <w:rFonts w:hint="eastAsia" w:ascii="宋体" w:hAnsi="宋体" w:eastAsia="宋体" w:cs="宋体"/>
                <w:b/>
                <w:bCs/>
                <w:sz w:val="22"/>
                <w:szCs w:val="22"/>
              </w:rPr>
            </w:pPr>
            <w:r>
              <w:rPr>
                <w:rFonts w:hint="eastAsia" w:ascii="宋体" w:hAnsi="宋体" w:eastAsia="宋体" w:cs="宋体"/>
                <w:b/>
                <w:bCs/>
                <w:sz w:val="22"/>
                <w:szCs w:val="22"/>
              </w:rPr>
              <w:t>项  目</w:t>
            </w:r>
          </w:p>
        </w:tc>
        <w:tc>
          <w:tcPr>
            <w:tcW w:w="3690" w:type="dxa"/>
            <w:noWrap w:val="0"/>
            <w:vAlign w:val="center"/>
          </w:tcPr>
          <w:p w14:paraId="50C37242">
            <w:pPr>
              <w:bidi w:val="0"/>
              <w:spacing w:line="360" w:lineRule="auto"/>
              <w:jc w:val="center"/>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t>建设内容</w:t>
            </w:r>
          </w:p>
        </w:tc>
        <w:tc>
          <w:tcPr>
            <w:tcW w:w="1965" w:type="dxa"/>
            <w:noWrap w:val="0"/>
            <w:vAlign w:val="center"/>
          </w:tcPr>
          <w:p w14:paraId="5AA656A7">
            <w:pPr>
              <w:bidi w:val="0"/>
              <w:spacing w:line="360" w:lineRule="auto"/>
              <w:jc w:val="center"/>
              <w:rPr>
                <w:rFonts w:hint="eastAsia" w:ascii="宋体" w:hAnsi="宋体" w:eastAsia="宋体" w:cs="宋体"/>
                <w:b/>
                <w:bCs/>
                <w:sz w:val="22"/>
                <w:szCs w:val="22"/>
                <w:lang w:val="en-US" w:eastAsia="zh-CN"/>
              </w:rPr>
            </w:pPr>
            <w:r>
              <w:rPr>
                <w:rFonts w:hint="eastAsia" w:ascii="宋体" w:hAnsi="宋体" w:eastAsia="宋体" w:cs="宋体"/>
                <w:b/>
                <w:bCs/>
                <w:kern w:val="2"/>
                <w:sz w:val="22"/>
                <w:szCs w:val="22"/>
              </w:rPr>
              <w:t>数量</w:t>
            </w:r>
          </w:p>
        </w:tc>
      </w:tr>
      <w:tr w14:paraId="682FB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3" w:type="dxa"/>
            <w:noWrap w:val="0"/>
            <w:vAlign w:val="center"/>
          </w:tcPr>
          <w:p w14:paraId="1B3645F5">
            <w:pPr>
              <w:bidi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1961" w:type="dxa"/>
            <w:noWrap w:val="0"/>
            <w:vAlign w:val="center"/>
          </w:tcPr>
          <w:p w14:paraId="3FF59AE0">
            <w:pPr>
              <w:bidi w:val="0"/>
              <w:spacing w:line="360" w:lineRule="auto"/>
              <w:jc w:val="center"/>
              <w:rPr>
                <w:rFonts w:hint="eastAsia" w:ascii="宋体" w:hAnsi="宋体" w:eastAsia="宋体" w:cs="宋体"/>
                <w:sz w:val="21"/>
                <w:szCs w:val="21"/>
              </w:rPr>
            </w:pPr>
            <w:r>
              <w:rPr>
                <w:rFonts w:hint="eastAsia" w:ascii="宋体" w:hAnsi="宋体" w:eastAsia="宋体" w:cs="宋体"/>
                <w:kern w:val="0"/>
                <w:sz w:val="21"/>
                <w:szCs w:val="21"/>
              </w:rPr>
              <w:t>人工普查</w:t>
            </w:r>
          </w:p>
        </w:tc>
        <w:tc>
          <w:tcPr>
            <w:tcW w:w="3690" w:type="dxa"/>
            <w:noWrap w:val="0"/>
            <w:vAlign w:val="center"/>
          </w:tcPr>
          <w:p w14:paraId="08D9C89E">
            <w:pPr>
              <w:bidi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美国白蛾和松材线虫病疫情监测普查</w:t>
            </w:r>
          </w:p>
        </w:tc>
        <w:tc>
          <w:tcPr>
            <w:tcW w:w="1965" w:type="dxa"/>
            <w:noWrap w:val="0"/>
            <w:vAlign w:val="center"/>
          </w:tcPr>
          <w:p w14:paraId="0BA618E3">
            <w:pPr>
              <w:bidi w:val="0"/>
              <w:spacing w:line="360" w:lineRule="auto"/>
              <w:jc w:val="center"/>
              <w:rPr>
                <w:rFonts w:hint="eastAsia" w:ascii="宋体" w:hAnsi="宋体" w:eastAsia="宋体" w:cs="宋体"/>
                <w:sz w:val="21"/>
                <w:szCs w:val="21"/>
              </w:rPr>
            </w:pPr>
            <w:r>
              <w:rPr>
                <w:rFonts w:hint="eastAsia" w:ascii="宋体" w:hAnsi="宋体" w:cs="宋体"/>
                <w:kern w:val="0"/>
                <w:sz w:val="21"/>
                <w:szCs w:val="21"/>
                <w:lang w:val="en-US" w:eastAsia="zh-CN"/>
              </w:rPr>
              <w:t>60</w:t>
            </w:r>
            <w:r>
              <w:rPr>
                <w:rFonts w:hint="eastAsia" w:ascii="宋体" w:hAnsi="宋体" w:eastAsia="宋体" w:cs="宋体"/>
                <w:kern w:val="0"/>
                <w:sz w:val="21"/>
                <w:szCs w:val="21"/>
              </w:rPr>
              <w:t>万亩</w:t>
            </w:r>
          </w:p>
        </w:tc>
      </w:tr>
      <w:tr w14:paraId="3BFB0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3" w:type="dxa"/>
            <w:vMerge w:val="restart"/>
            <w:noWrap w:val="0"/>
            <w:vAlign w:val="center"/>
          </w:tcPr>
          <w:p w14:paraId="3D4AC372">
            <w:pPr>
              <w:bidi w:val="0"/>
              <w:spacing w:line="360" w:lineRule="auto"/>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2</w:t>
            </w:r>
          </w:p>
        </w:tc>
        <w:tc>
          <w:tcPr>
            <w:tcW w:w="1961" w:type="dxa"/>
            <w:vMerge w:val="restart"/>
            <w:noWrap w:val="0"/>
            <w:vAlign w:val="center"/>
          </w:tcPr>
          <w:p w14:paraId="03FA96B3">
            <w:pPr>
              <w:bidi w:val="0"/>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诱捕器监测</w:t>
            </w:r>
          </w:p>
        </w:tc>
        <w:tc>
          <w:tcPr>
            <w:tcW w:w="3690" w:type="dxa"/>
            <w:noWrap w:val="0"/>
            <w:vAlign w:val="center"/>
          </w:tcPr>
          <w:p w14:paraId="56884A0D">
            <w:pPr>
              <w:bidi w:val="0"/>
              <w:spacing w:line="360" w:lineRule="auto"/>
              <w:jc w:val="center"/>
              <w:rPr>
                <w:rFonts w:hint="eastAsia" w:ascii="宋体" w:hAnsi="宋体" w:eastAsia="宋体" w:cs="宋体"/>
                <w:sz w:val="21"/>
                <w:szCs w:val="21"/>
              </w:rPr>
            </w:pPr>
            <w:r>
              <w:rPr>
                <w:rFonts w:hint="eastAsia" w:ascii="宋体" w:hAnsi="宋体" w:eastAsia="宋体" w:cs="宋体"/>
                <w:kern w:val="0"/>
                <w:sz w:val="21"/>
                <w:szCs w:val="21"/>
              </w:rPr>
              <w:t>美国白蛾诱捕器</w:t>
            </w:r>
          </w:p>
        </w:tc>
        <w:tc>
          <w:tcPr>
            <w:tcW w:w="1965" w:type="dxa"/>
            <w:noWrap w:val="0"/>
            <w:vAlign w:val="center"/>
          </w:tcPr>
          <w:p w14:paraId="0DFDF07C">
            <w:pPr>
              <w:bidi w:val="0"/>
              <w:spacing w:line="360" w:lineRule="auto"/>
              <w:jc w:val="center"/>
              <w:rPr>
                <w:rFonts w:hint="eastAsia" w:ascii="宋体" w:hAnsi="宋体" w:cs="宋体"/>
                <w:kern w:val="0"/>
                <w:sz w:val="21"/>
                <w:szCs w:val="21"/>
                <w:lang w:val="en-US" w:eastAsia="zh-CN"/>
              </w:rPr>
            </w:pPr>
            <w:r>
              <w:rPr>
                <w:rFonts w:hint="eastAsia" w:ascii="宋体" w:hAnsi="宋体" w:cs="宋体"/>
                <w:kern w:val="0"/>
                <w:sz w:val="21"/>
                <w:szCs w:val="21"/>
                <w:lang w:val="en-US" w:eastAsia="zh-CN"/>
              </w:rPr>
              <w:t>5</w:t>
            </w:r>
            <w:r>
              <w:rPr>
                <w:rFonts w:hint="eastAsia" w:ascii="宋体" w:hAnsi="宋体" w:eastAsia="宋体" w:cs="宋体"/>
                <w:kern w:val="0"/>
                <w:sz w:val="21"/>
                <w:szCs w:val="21"/>
              </w:rPr>
              <w:t>00台</w:t>
            </w:r>
          </w:p>
        </w:tc>
      </w:tr>
      <w:tr w14:paraId="6F65A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3" w:type="dxa"/>
            <w:vMerge w:val="continue"/>
            <w:tcBorders/>
            <w:noWrap w:val="0"/>
            <w:vAlign w:val="center"/>
          </w:tcPr>
          <w:p w14:paraId="70A0955A">
            <w:pPr>
              <w:bidi w:val="0"/>
              <w:spacing w:line="360" w:lineRule="auto"/>
              <w:jc w:val="center"/>
              <w:rPr>
                <w:rFonts w:hint="eastAsia" w:ascii="宋体" w:hAnsi="宋体" w:eastAsia="宋体" w:cs="宋体"/>
                <w:sz w:val="21"/>
                <w:szCs w:val="21"/>
              </w:rPr>
            </w:pPr>
          </w:p>
        </w:tc>
        <w:tc>
          <w:tcPr>
            <w:tcW w:w="1961" w:type="dxa"/>
            <w:vMerge w:val="continue"/>
            <w:tcBorders/>
            <w:noWrap w:val="0"/>
            <w:vAlign w:val="center"/>
          </w:tcPr>
          <w:p w14:paraId="0ACD9A47">
            <w:pPr>
              <w:bidi w:val="0"/>
              <w:spacing w:line="360" w:lineRule="auto"/>
              <w:jc w:val="center"/>
              <w:rPr>
                <w:rFonts w:hint="eastAsia" w:ascii="宋体" w:hAnsi="宋体" w:eastAsia="宋体" w:cs="宋体"/>
                <w:kern w:val="0"/>
                <w:sz w:val="21"/>
                <w:szCs w:val="21"/>
              </w:rPr>
            </w:pPr>
          </w:p>
        </w:tc>
        <w:tc>
          <w:tcPr>
            <w:tcW w:w="3690" w:type="dxa"/>
            <w:noWrap w:val="0"/>
            <w:vAlign w:val="center"/>
          </w:tcPr>
          <w:p w14:paraId="0374E29F">
            <w:pPr>
              <w:bidi w:val="0"/>
              <w:spacing w:line="360" w:lineRule="auto"/>
              <w:jc w:val="center"/>
              <w:rPr>
                <w:rFonts w:hint="eastAsia" w:ascii="宋体" w:hAnsi="宋体" w:eastAsia="宋体" w:cs="宋体"/>
                <w:sz w:val="21"/>
                <w:szCs w:val="21"/>
              </w:rPr>
            </w:pPr>
            <w:r>
              <w:rPr>
                <w:rFonts w:hint="eastAsia" w:ascii="宋体" w:hAnsi="宋体" w:eastAsia="宋体" w:cs="宋体"/>
                <w:kern w:val="0"/>
                <w:sz w:val="21"/>
                <w:szCs w:val="21"/>
              </w:rPr>
              <w:t>松褐天牛诱捕器</w:t>
            </w:r>
          </w:p>
        </w:tc>
        <w:tc>
          <w:tcPr>
            <w:tcW w:w="1965" w:type="dxa"/>
            <w:noWrap w:val="0"/>
            <w:vAlign w:val="center"/>
          </w:tcPr>
          <w:p w14:paraId="6140EE59">
            <w:pPr>
              <w:bidi w:val="0"/>
              <w:spacing w:line="360" w:lineRule="auto"/>
              <w:jc w:val="center"/>
              <w:rPr>
                <w:rFonts w:hint="eastAsia" w:ascii="宋体" w:hAnsi="宋体" w:cs="宋体"/>
                <w:kern w:val="0"/>
                <w:sz w:val="21"/>
                <w:szCs w:val="21"/>
                <w:lang w:val="en-US" w:eastAsia="zh-CN"/>
              </w:rPr>
            </w:pPr>
            <w:r>
              <w:rPr>
                <w:rFonts w:hint="eastAsia" w:ascii="宋体" w:hAnsi="宋体" w:cs="宋体"/>
                <w:kern w:val="0"/>
                <w:sz w:val="21"/>
                <w:szCs w:val="21"/>
                <w:lang w:val="en-US" w:eastAsia="zh-CN"/>
              </w:rPr>
              <w:t>5</w:t>
            </w:r>
            <w:r>
              <w:rPr>
                <w:rFonts w:hint="eastAsia" w:ascii="宋体" w:hAnsi="宋体" w:eastAsia="宋体" w:cs="宋体"/>
                <w:kern w:val="0"/>
                <w:sz w:val="21"/>
                <w:szCs w:val="21"/>
              </w:rPr>
              <w:t>00台</w:t>
            </w:r>
          </w:p>
        </w:tc>
      </w:tr>
      <w:tr w14:paraId="40ABE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703" w:type="dxa"/>
            <w:noWrap w:val="0"/>
            <w:vAlign w:val="center"/>
          </w:tcPr>
          <w:p w14:paraId="6640AC89">
            <w:pPr>
              <w:bidi w:val="0"/>
              <w:spacing w:line="360" w:lineRule="auto"/>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3</w:t>
            </w:r>
          </w:p>
        </w:tc>
        <w:tc>
          <w:tcPr>
            <w:tcW w:w="1961" w:type="dxa"/>
            <w:noWrap w:val="0"/>
            <w:vAlign w:val="center"/>
          </w:tcPr>
          <w:p w14:paraId="1DE3B089">
            <w:pPr>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药剂防治</w:t>
            </w:r>
          </w:p>
        </w:tc>
        <w:tc>
          <w:tcPr>
            <w:tcW w:w="3690" w:type="dxa"/>
            <w:noWrap w:val="0"/>
            <w:vAlign w:val="center"/>
          </w:tcPr>
          <w:p w14:paraId="50D96818">
            <w:pPr>
              <w:spacing w:line="240" w:lineRule="auto"/>
              <w:jc w:val="center"/>
              <w:rPr>
                <w:rFonts w:hint="eastAsia" w:ascii="宋体" w:hAnsi="宋体" w:eastAsia="宋体" w:cs="宋体"/>
                <w:sz w:val="21"/>
                <w:szCs w:val="21"/>
              </w:rPr>
            </w:pPr>
            <w:r>
              <w:rPr>
                <w:rFonts w:hint="eastAsia" w:ascii="宋体" w:hAnsi="宋体" w:eastAsia="宋体" w:cs="宋体"/>
                <w:kern w:val="0"/>
                <w:sz w:val="21"/>
                <w:szCs w:val="21"/>
              </w:rPr>
              <w:t>喷雾措施防治</w:t>
            </w:r>
          </w:p>
        </w:tc>
        <w:tc>
          <w:tcPr>
            <w:tcW w:w="1965" w:type="dxa"/>
            <w:noWrap w:val="0"/>
            <w:vAlign w:val="center"/>
          </w:tcPr>
          <w:p w14:paraId="58ECD4BF">
            <w:pPr>
              <w:spacing w:line="240" w:lineRule="auto"/>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rPr>
              <w:t>1万亩</w:t>
            </w:r>
          </w:p>
        </w:tc>
      </w:tr>
    </w:tbl>
    <w:p w14:paraId="08F43074">
      <w:pPr>
        <w:pStyle w:val="4"/>
        <w:numPr>
          <w:ilvl w:val="0"/>
          <w:numId w:val="0"/>
        </w:numPr>
        <w:ind w:firstLine="0" w:firstLineChars="0"/>
        <w:rPr>
          <w:rFonts w:hint="default"/>
          <w:lang w:val="en-US" w:eastAsia="zh-CN"/>
        </w:rPr>
      </w:pPr>
    </w:p>
    <w:p w14:paraId="01133234">
      <w:pPr>
        <w:spacing w:line="360" w:lineRule="auto"/>
        <w:rPr>
          <w:rFonts w:hint="eastAsia"/>
          <w:b/>
          <w:bCs/>
          <w:sz w:val="24"/>
          <w:szCs w:val="24"/>
        </w:rPr>
      </w:pPr>
      <w:r>
        <w:rPr>
          <w:rFonts w:hint="eastAsia"/>
          <w:b/>
          <w:bCs/>
          <w:sz w:val="24"/>
          <w:szCs w:val="24"/>
          <w:lang w:val="en-US" w:eastAsia="zh-CN"/>
        </w:rPr>
        <w:t>三</w:t>
      </w:r>
      <w:r>
        <w:rPr>
          <w:rFonts w:hint="eastAsia"/>
          <w:b/>
          <w:bCs/>
          <w:sz w:val="24"/>
          <w:szCs w:val="24"/>
        </w:rPr>
        <w:t>、主要技术措施：</w:t>
      </w:r>
    </w:p>
    <w:p w14:paraId="36D80C66">
      <w:pPr>
        <w:spacing w:line="360" w:lineRule="auto"/>
        <w:ind w:firstLine="420" w:firstLineChars="200"/>
        <w:rPr>
          <w:rFonts w:hint="eastAsia"/>
          <w:sz w:val="21"/>
          <w:szCs w:val="21"/>
        </w:rPr>
      </w:pPr>
      <w:r>
        <w:rPr>
          <w:rFonts w:hint="eastAsia"/>
          <w:sz w:val="21"/>
          <w:szCs w:val="21"/>
        </w:rPr>
        <w:t>1、架设诱捕器开展虫情监测：</w:t>
      </w:r>
    </w:p>
    <w:p w14:paraId="1931A13B">
      <w:pPr>
        <w:spacing w:line="360" w:lineRule="auto"/>
        <w:ind w:firstLine="420" w:firstLineChars="200"/>
        <w:rPr>
          <w:rFonts w:hint="eastAsia"/>
          <w:sz w:val="21"/>
          <w:szCs w:val="21"/>
        </w:rPr>
      </w:pPr>
      <w:r>
        <w:rPr>
          <w:rFonts w:hint="eastAsia"/>
          <w:sz w:val="21"/>
          <w:szCs w:val="21"/>
        </w:rPr>
        <w:t>松材线虫病监测采取媒介昆虫诱捕器监测方式，在厚畛子、板房子等松林分布区架设诱捕器500台，依照地形和林分分布，合理间隔诱捕器，监控媒介昆虫虫情；美国白蛾监测主要以风险区域为主开展，在风险点及周边架设美国白蛾诱捕器500台监测美国白蛾虫情，实行定人定点观测虫情，及时上报，为预测虫情提供依据。</w:t>
      </w:r>
    </w:p>
    <w:p w14:paraId="21FA5F3F">
      <w:pPr>
        <w:spacing w:line="360" w:lineRule="auto"/>
        <w:ind w:firstLine="420" w:firstLineChars="200"/>
        <w:rPr>
          <w:rFonts w:hint="eastAsia"/>
          <w:sz w:val="21"/>
          <w:szCs w:val="21"/>
        </w:rPr>
      </w:pPr>
      <w:r>
        <w:rPr>
          <w:rFonts w:hint="eastAsia"/>
          <w:sz w:val="21"/>
          <w:szCs w:val="21"/>
        </w:rPr>
        <w:t>2、开展人工排查：利用美国白蛾和松材线虫危害寄主分布情况对县域内林分进行人工排查，以美国白蛾和松材线虫病风险区和风险点为中心，对周边镇村林分、苗圃进行踏查排除，项目实施区域为周至县境内林分，有效累计普查面积60万亩。</w:t>
      </w:r>
    </w:p>
    <w:p w14:paraId="27ACC17C">
      <w:pPr>
        <w:spacing w:line="360" w:lineRule="auto"/>
        <w:ind w:firstLine="420" w:firstLineChars="200"/>
        <w:rPr>
          <w:rFonts w:hint="eastAsia"/>
          <w:sz w:val="21"/>
          <w:szCs w:val="21"/>
        </w:rPr>
      </w:pPr>
      <w:r>
        <w:rPr>
          <w:rFonts w:hint="eastAsia"/>
          <w:sz w:val="21"/>
          <w:szCs w:val="21"/>
        </w:rPr>
        <w:t>主要措施有：</w:t>
      </w:r>
    </w:p>
    <w:p w14:paraId="077F96F4">
      <w:pPr>
        <w:spacing w:line="360" w:lineRule="auto"/>
        <w:ind w:firstLine="420" w:firstLineChars="200"/>
        <w:rPr>
          <w:rFonts w:hint="eastAsia"/>
          <w:sz w:val="21"/>
          <w:szCs w:val="21"/>
        </w:rPr>
      </w:pPr>
      <w:r>
        <w:rPr>
          <w:rFonts w:hint="eastAsia"/>
          <w:sz w:val="21"/>
          <w:szCs w:val="21"/>
        </w:rPr>
        <w:t>（1）美国白蛾普查：</w:t>
      </w:r>
    </w:p>
    <w:p w14:paraId="5A30BDAF">
      <w:pPr>
        <w:spacing w:line="360" w:lineRule="auto"/>
        <w:ind w:firstLine="420" w:firstLineChars="200"/>
        <w:rPr>
          <w:rFonts w:hint="eastAsia"/>
          <w:sz w:val="21"/>
          <w:szCs w:val="21"/>
        </w:rPr>
      </w:pPr>
      <w:r>
        <w:rPr>
          <w:rFonts w:hint="eastAsia"/>
          <w:sz w:val="21"/>
          <w:szCs w:val="21"/>
        </w:rPr>
        <w:t>主要普查范围为尚村、九峰、集贤、楼观、二曲、哑柏、马召等美国白蛾喜食树种分布和苗木流通区域，要结合美国白蛾喜食的金叶复叶槭、桑、榆、樱花、红叶李、核桃等树种分布，划定风险区域，以此为中心向周边村庄、林分进行排查。根据美国白蛾疫情传播方式，确定重点风险区为外来苗木进出周至的国省道沿线，由此向外覆盖的周边苗圃、林带、村庄为一般预防区。重点防控区域范围内的行道树、片林、房前屋后树木、苗圃要每隔3-5天全面排查。一般防控区域10-15天排查一次。普查主要以踏查为主，观察树上有无幼虫危害时形成的网幕，叶片有无啃食过的网膜状痕迹，查看树冠枝条端部或近端部叶片背面是否有卵块，树干、墙壁、电杆、草本植物及附近物体上是否有成虫。</w:t>
      </w:r>
    </w:p>
    <w:p w14:paraId="56F18CE3">
      <w:pPr>
        <w:spacing w:line="360" w:lineRule="auto"/>
        <w:ind w:firstLine="420" w:firstLineChars="200"/>
        <w:rPr>
          <w:rFonts w:hint="eastAsia"/>
          <w:sz w:val="21"/>
          <w:szCs w:val="21"/>
        </w:rPr>
      </w:pPr>
      <w:r>
        <w:rPr>
          <w:rFonts w:hint="eastAsia"/>
          <w:sz w:val="21"/>
          <w:szCs w:val="21"/>
        </w:rPr>
        <w:t>（2）松材线虫病普查：</w:t>
      </w:r>
    </w:p>
    <w:p w14:paraId="0544CBEB">
      <w:pPr>
        <w:spacing w:line="360" w:lineRule="auto"/>
        <w:ind w:firstLine="420" w:firstLineChars="200"/>
        <w:rPr>
          <w:rFonts w:hint="eastAsia"/>
          <w:sz w:val="21"/>
          <w:szCs w:val="21"/>
        </w:rPr>
      </w:pPr>
      <w:r>
        <w:rPr>
          <w:rFonts w:hint="eastAsia"/>
          <w:sz w:val="21"/>
          <w:szCs w:val="21"/>
        </w:rPr>
        <w:t>重点普查厚畛子、板房子、王家河、陈河、哑柏及沿山的九峰、集贤、楼观、马召、广济、骆峪、翠峰、竹峪等13镇辖区涉松林分、圃地。通往普查松林小班沿线的松树林分也应进行巡查，发现异常死亡植株或林分应及时上报进行处置。林分初查时要顺着林区自然界线、道路对林分进行目测调查。调查松树林分是否有发黄、黄褐、红褐色甚至整株死亡现象，枯死针叶不脱落，树干用刀砍，无树脂流出，材质干枯蓝变；调查松树干部有无天牛羽化孔、侵入孔、蛀道等痕迹。对初查中发现可疑林分的要求查明死亡植株的分布地点、数量、树龄、立地环境、外观症状等，需进行实验室鉴定的要按照技术要求采样送检。需要进一步鉴定确认的采样及时送检有关部门，并按照林业有害生物防控技术规程指导做好应急处置，并以此为中心向周围林区做好排查工作。</w:t>
      </w:r>
    </w:p>
    <w:p w14:paraId="746B09C8">
      <w:pPr>
        <w:spacing w:line="360" w:lineRule="auto"/>
        <w:ind w:firstLine="420" w:firstLineChars="200"/>
        <w:rPr>
          <w:rFonts w:hint="eastAsia"/>
          <w:sz w:val="21"/>
          <w:szCs w:val="21"/>
        </w:rPr>
      </w:pPr>
      <w:r>
        <w:rPr>
          <w:rFonts w:hint="eastAsia"/>
          <w:sz w:val="21"/>
          <w:szCs w:val="21"/>
        </w:rPr>
        <w:t>3、对突发虫情灾害进行预防性防治：</w:t>
      </w:r>
    </w:p>
    <w:p w14:paraId="7994D9F6">
      <w:pPr>
        <w:spacing w:line="360" w:lineRule="auto"/>
        <w:ind w:firstLine="420" w:firstLineChars="200"/>
        <w:rPr>
          <w:rFonts w:hint="eastAsia"/>
          <w:sz w:val="21"/>
          <w:szCs w:val="21"/>
        </w:rPr>
      </w:pPr>
      <w:r>
        <w:rPr>
          <w:rFonts w:hint="eastAsia"/>
          <w:sz w:val="21"/>
          <w:szCs w:val="21"/>
        </w:rPr>
        <w:t>加强境内美国白蛾和松材线虫病监测，积极开展寄主林分、媒介昆虫进行有针对性预防性防治。重点风险区采取高压喷雾或无人机防治等方式实施；村庄周边、苗圃密集区域、木材加工企业采取人员巡查、人工处置、投放天敌昆虫等形式，防止外来可疑病虫传入。主要防治区域为美国白蛾和松材线虫病风险区及周边林分，累计防治面积为1万亩。</w:t>
      </w:r>
    </w:p>
    <w:p w14:paraId="7374CD4A">
      <w:pPr>
        <w:spacing w:line="360" w:lineRule="auto"/>
        <w:ind w:firstLine="420" w:firstLineChars="200"/>
        <w:rPr>
          <w:rFonts w:hint="eastAsia"/>
          <w:sz w:val="21"/>
          <w:szCs w:val="21"/>
        </w:rPr>
      </w:pPr>
      <w:r>
        <w:rPr>
          <w:rFonts w:hint="eastAsia"/>
          <w:sz w:val="21"/>
          <w:szCs w:val="21"/>
        </w:rPr>
        <w:t>4、合理使用无公害药剂，多种方式互补防治：</w:t>
      </w:r>
    </w:p>
    <w:p w14:paraId="1FDFBC95">
      <w:pPr>
        <w:spacing w:line="360" w:lineRule="auto"/>
        <w:ind w:firstLine="420" w:firstLineChars="200"/>
        <w:rPr>
          <w:rFonts w:hint="eastAsia"/>
          <w:sz w:val="21"/>
          <w:szCs w:val="21"/>
        </w:rPr>
      </w:pPr>
      <w:r>
        <w:rPr>
          <w:rFonts w:hint="eastAsia"/>
          <w:sz w:val="21"/>
          <w:szCs w:val="21"/>
        </w:rPr>
        <w:t>对重点区域可能发生美国白蛾和松材线虫病疫情的道路、林带、片林、房前屋后等重点防控区开展预防性药剂防治，药剂使用方式包括高压喷雾、打孔注药、无人机喷淋防治等，由现场踏查人员根据踏查结果具体而定，综合考虑林分密度、天气因素、人为活动范围等。药剂选择要十分注意对生态环境的影响和安全性，主要选择仿生、生物药剂和植物性杀虫剂，禁止使用国家限制使用的高毒、高残留农药，落实好安全用药规定和防治人员安全措施，做好喷药区域人员、禽畜的防范工作。坚持安全用药，有效防治，多措并举有效控制病虫害危害。</w:t>
      </w:r>
    </w:p>
    <w:p w14:paraId="3BDA2DCB">
      <w:pPr>
        <w:pStyle w:val="9"/>
        <w:jc w:val="left"/>
        <w:rPr>
          <w:sz w:val="24"/>
          <w:szCs w:val="24"/>
        </w:rPr>
      </w:pPr>
      <w:r>
        <w:rPr>
          <w:rFonts w:hint="eastAsia" w:ascii="宋体" w:hAnsi="宋体" w:eastAsia="宋体" w:cs="宋体"/>
          <w:b/>
          <w:sz w:val="24"/>
          <w:szCs w:val="24"/>
          <w:lang w:val="en-US" w:eastAsia="zh-CN"/>
        </w:rPr>
        <w:t>四</w:t>
      </w:r>
      <w:r>
        <w:rPr>
          <w:rFonts w:ascii="宋体" w:hAnsi="宋体" w:eastAsia="宋体" w:cs="宋体"/>
          <w:b/>
          <w:sz w:val="24"/>
          <w:szCs w:val="24"/>
        </w:rPr>
        <w:t>、保障措施：</w:t>
      </w:r>
    </w:p>
    <w:p w14:paraId="00C3A64A">
      <w:pPr>
        <w:pStyle w:val="9"/>
        <w:spacing w:line="360" w:lineRule="auto"/>
        <w:ind w:firstLine="371"/>
        <w:jc w:val="left"/>
        <w:rPr>
          <w:rFonts w:hint="eastAsia" w:ascii="宋体" w:hAnsi="宋体" w:eastAsia="宋体" w:cs="宋体"/>
          <w:sz w:val="21"/>
          <w:szCs w:val="21"/>
        </w:rPr>
      </w:pPr>
      <w:r>
        <w:rPr>
          <w:rFonts w:hint="eastAsia" w:ascii="宋体" w:hAnsi="宋体" w:eastAsia="宋体" w:cs="宋体"/>
          <w:sz w:val="21"/>
          <w:szCs w:val="21"/>
        </w:rPr>
        <w:t>1、加强项目监管。成立项目建设领导小组</w:t>
      </w:r>
      <w:r>
        <w:rPr>
          <w:rFonts w:hint="eastAsia" w:ascii="宋体" w:hAnsi="宋体" w:eastAsia="宋体" w:cs="宋体"/>
          <w:sz w:val="21"/>
          <w:szCs w:val="21"/>
          <w:lang w:eastAsia="zh-CN"/>
        </w:rPr>
        <w:t>。</w:t>
      </w:r>
      <w:r>
        <w:rPr>
          <w:rFonts w:hint="eastAsia" w:ascii="宋体" w:hAnsi="宋体" w:eastAsia="宋体" w:cs="宋体"/>
          <w:sz w:val="21"/>
          <w:szCs w:val="21"/>
        </w:rPr>
        <w:t>由有防治作业相关资质的防治公司负责实施，项目建设领导小组做好项目进度管理、质量管理和防控效果监管，督促项目实施按照计划开展。</w:t>
      </w:r>
    </w:p>
    <w:p w14:paraId="50369CF9">
      <w:pPr>
        <w:pStyle w:val="9"/>
        <w:spacing w:line="360" w:lineRule="auto"/>
        <w:ind w:firstLine="371"/>
        <w:jc w:val="left"/>
        <w:rPr>
          <w:rFonts w:hint="eastAsia" w:ascii="宋体" w:hAnsi="宋体" w:eastAsia="宋体" w:cs="宋体"/>
          <w:sz w:val="21"/>
          <w:szCs w:val="21"/>
        </w:rPr>
      </w:pPr>
      <w:r>
        <w:rPr>
          <w:rFonts w:hint="eastAsia" w:ascii="宋体" w:hAnsi="宋体" w:eastAsia="宋体" w:cs="宋体"/>
          <w:sz w:val="21"/>
          <w:szCs w:val="21"/>
        </w:rPr>
        <w:t>2、严格按照实施方案进行施工。坚持普查和防治相结合，明确药剂防治范围、规模，制定详细的防治计划，提高药剂防治效率，保障防控效果。</w:t>
      </w:r>
    </w:p>
    <w:p w14:paraId="0C480BF0">
      <w:pPr>
        <w:pStyle w:val="9"/>
        <w:spacing w:line="360" w:lineRule="auto"/>
        <w:ind w:firstLine="371"/>
        <w:jc w:val="left"/>
        <w:rPr>
          <w:rFonts w:hint="eastAsia" w:ascii="宋体" w:hAnsi="宋体" w:eastAsia="宋体" w:cs="宋体"/>
          <w:sz w:val="21"/>
          <w:szCs w:val="21"/>
        </w:rPr>
      </w:pPr>
      <w:r>
        <w:rPr>
          <w:rFonts w:hint="eastAsia" w:ascii="宋体" w:hAnsi="宋体" w:eastAsia="宋体" w:cs="宋体"/>
          <w:sz w:val="21"/>
          <w:szCs w:val="21"/>
        </w:rPr>
        <w:t>3、坚持安全施药。按照《西安市秦岭生态环境保护条例》要求，做好药剂、防治药械使用知识培训和安全生产教育，坚持安全用药，防止监测普查过程对林区生态环境造成环境污染。</w:t>
      </w:r>
    </w:p>
    <w:p w14:paraId="4720EF58">
      <w:pPr>
        <w:pStyle w:val="9"/>
        <w:spacing w:line="360" w:lineRule="auto"/>
        <w:ind w:firstLine="371"/>
        <w:jc w:val="left"/>
        <w:rPr>
          <w:rFonts w:hint="eastAsia" w:ascii="宋体" w:hAnsi="宋体" w:eastAsia="宋体" w:cs="宋体"/>
          <w:sz w:val="21"/>
          <w:szCs w:val="21"/>
        </w:rPr>
      </w:pPr>
      <w:r>
        <w:rPr>
          <w:rFonts w:hint="eastAsia" w:ascii="宋体" w:hAnsi="宋体" w:eastAsia="宋体" w:cs="宋体"/>
          <w:sz w:val="21"/>
          <w:szCs w:val="21"/>
        </w:rPr>
        <w:t>4、及时做好防治效果调查。对防治效果不理想的林地及时进行补防，确保防治技术指标的完成，并认真建立防治档案，为今后防控工作提供科学依据。</w:t>
      </w:r>
    </w:p>
    <w:p w14:paraId="467D06A1">
      <w:pPr>
        <w:pStyle w:val="9"/>
        <w:spacing w:line="360" w:lineRule="auto"/>
        <w:ind w:firstLine="371"/>
        <w:jc w:val="left"/>
        <w:rPr>
          <w:rFonts w:hint="eastAsia"/>
          <w:sz w:val="21"/>
          <w:szCs w:val="21"/>
        </w:rPr>
      </w:pPr>
      <w:r>
        <w:rPr>
          <w:rFonts w:hint="eastAsia" w:ascii="宋体" w:hAnsi="宋体" w:eastAsia="宋体" w:cs="宋体"/>
          <w:sz w:val="21"/>
          <w:szCs w:val="21"/>
        </w:rPr>
        <w:t>5、加强项目资金管理。项目建设资金管理实行专款专用，专账管理，严格按照项目管理要求实施。</w:t>
      </w:r>
    </w:p>
    <w:p w14:paraId="062586F4">
      <w:pPr>
        <w:numPr>
          <w:ilvl w:val="0"/>
          <w:numId w:val="0"/>
        </w:numPr>
        <w:spacing w:line="360" w:lineRule="auto"/>
        <w:ind w:left="0" w:leftChars="0"/>
        <w:rPr>
          <w:rFonts w:hint="eastAsia" w:ascii="宋体" w:hAnsi="宋体" w:eastAsia="宋体" w:cs="宋体"/>
          <w:b/>
          <w:sz w:val="24"/>
          <w:szCs w:val="24"/>
        </w:rPr>
      </w:pPr>
      <w:r>
        <w:rPr>
          <w:rFonts w:hint="eastAsia" w:ascii="宋体" w:hAnsi="宋体" w:cs="宋体"/>
          <w:b/>
          <w:sz w:val="24"/>
          <w:szCs w:val="24"/>
          <w:lang w:val="en-US" w:eastAsia="zh-CN"/>
        </w:rPr>
        <w:t>五</w:t>
      </w:r>
      <w:r>
        <w:rPr>
          <w:rFonts w:hint="eastAsia" w:ascii="宋体" w:hAnsi="宋体" w:eastAsia="宋体" w:cs="宋体"/>
          <w:b/>
          <w:sz w:val="24"/>
          <w:szCs w:val="24"/>
          <w:lang w:eastAsia="zh-CN"/>
        </w:rPr>
        <w:t>、</w:t>
      </w:r>
      <w:r>
        <w:rPr>
          <w:rFonts w:hint="eastAsia" w:ascii="宋体" w:hAnsi="宋体" w:eastAsia="宋体" w:cs="宋体"/>
          <w:b/>
          <w:sz w:val="24"/>
          <w:szCs w:val="24"/>
        </w:rPr>
        <w:t>违约责任</w:t>
      </w:r>
      <w:r>
        <w:rPr>
          <w:rFonts w:hint="eastAsia" w:ascii="宋体" w:hAnsi="宋体" w:eastAsia="宋体" w:cs="宋体"/>
          <w:b/>
          <w:bCs w:val="0"/>
          <w:sz w:val="24"/>
          <w:szCs w:val="24"/>
        </w:rPr>
        <w:t>：</w:t>
      </w:r>
    </w:p>
    <w:p w14:paraId="79B72E4A">
      <w:pPr>
        <w:numPr>
          <w:ilvl w:val="0"/>
          <w:numId w:val="0"/>
        </w:numPr>
        <w:spacing w:line="360" w:lineRule="auto"/>
        <w:ind w:firstLine="420" w:firstLineChars="200"/>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1、按《民法典》中的相关条款执行。</w:t>
      </w:r>
    </w:p>
    <w:p w14:paraId="4336B820">
      <w:pPr>
        <w:spacing w:line="360" w:lineRule="auto"/>
        <w:ind w:firstLine="420" w:firstLineChars="200"/>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2、供应商未按合同要求提供货物或服务质量不能满足技术要求，应按照采购人要求无条件重新提供相关服务并满足采购人需求，因此产生的费用均由供应商承担；否则，采购人有权解除本合同，解除本合同书面通知书到达供应商之日视为本合同已解除，并按以下两种方式追究供应商责任：</w:t>
      </w:r>
    </w:p>
    <w:p w14:paraId="609EB134">
      <w:pPr>
        <w:spacing w:line="360" w:lineRule="auto"/>
        <w:ind w:firstLine="420" w:firstLineChars="200"/>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（1）供应商赔偿采购人解除本合同的全部损失（包括但不限于重新采购产生的费用）；</w:t>
      </w:r>
    </w:p>
    <w:p w14:paraId="10264B97">
      <w:pPr>
        <w:spacing w:line="360" w:lineRule="auto"/>
        <w:ind w:firstLine="420" w:firstLineChars="200"/>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2）供应商支付采购人违约金。违约金计算方式：以本合同总价为基数，支付采购人合同总价的30%违约金，并对供应商的违约行为报监管机构进行相应的处罚，违约金不足以弥补因此给采购人造成的损失的，供应商应予以补足。</w:t>
      </w:r>
    </w:p>
    <w:p w14:paraId="5DE2A74B">
      <w:pPr>
        <w:spacing w:line="360" w:lineRule="auto"/>
        <w:ind w:firstLine="420" w:firstLineChars="200"/>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（3）供应商应做好相关防护工作，供应商履行本合同造成的任何损害均自行承担。</w:t>
      </w:r>
    </w:p>
    <w:p w14:paraId="4F173A74">
      <w:pPr>
        <w:spacing w:line="360" w:lineRule="auto"/>
        <w:ind w:firstLine="420" w:firstLineChars="200"/>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（4）供应商不得将项目转让、分包给其他单位或个人，供应商的投标文件和承诺等内容将列入本合同。</w:t>
      </w:r>
    </w:p>
    <w:p w14:paraId="50B8D418">
      <w:pPr>
        <w:spacing w:line="360" w:lineRule="auto"/>
        <w:ind w:firstLine="0" w:firstLineChars="0"/>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四</w:t>
      </w:r>
      <w:r>
        <w:rPr>
          <w:rFonts w:hint="eastAsia" w:ascii="宋体" w:hAnsi="宋体" w:eastAsia="宋体" w:cs="宋体"/>
          <w:b/>
          <w:bCs w:val="0"/>
          <w:sz w:val="24"/>
          <w:szCs w:val="24"/>
        </w:rPr>
        <w:t>、</w:t>
      </w:r>
      <w:r>
        <w:rPr>
          <w:rFonts w:hint="eastAsia" w:ascii="宋体" w:hAnsi="宋体" w:eastAsia="宋体" w:cs="宋体"/>
          <w:szCs w:val="21"/>
        </w:rPr>
        <w:t>保障措施</w:t>
      </w:r>
      <w:r>
        <w:rPr>
          <w:rFonts w:hint="eastAsia" w:ascii="宋体" w:hAnsi="宋体" w:eastAsia="宋体" w:cs="宋体"/>
          <w:b/>
          <w:bCs w:val="0"/>
          <w:sz w:val="24"/>
          <w:szCs w:val="24"/>
        </w:rPr>
        <w:t>：</w:t>
      </w:r>
    </w:p>
    <w:p w14:paraId="13211187">
      <w:pPr>
        <w:tabs>
          <w:tab w:val="left" w:pos="498"/>
        </w:tabs>
        <w:spacing w:line="360" w:lineRule="auto"/>
        <w:ind w:firstLine="420" w:firstLineChars="200"/>
        <w:jc w:val="left"/>
        <w:rPr>
          <w:rFonts w:hint="eastAsia" w:ascii="宋体" w:hAnsi="宋体" w:eastAsia="宋体" w:cs="宋体"/>
          <w:sz w:val="21"/>
          <w:szCs w:val="18"/>
        </w:rPr>
      </w:pPr>
      <w:r>
        <w:rPr>
          <w:rFonts w:hint="eastAsia" w:ascii="宋体" w:hAnsi="宋体" w:eastAsia="宋体" w:cs="宋体"/>
          <w:sz w:val="21"/>
          <w:szCs w:val="18"/>
          <w:lang w:val="en-US" w:eastAsia="zh-CN"/>
        </w:rPr>
        <w:t>1</w:t>
      </w:r>
      <w:r>
        <w:rPr>
          <w:rFonts w:hint="eastAsia" w:ascii="宋体" w:hAnsi="宋体" w:eastAsia="宋体" w:cs="宋体"/>
          <w:sz w:val="21"/>
          <w:szCs w:val="18"/>
        </w:rPr>
        <w:t>、严格按照实施方案进行施工。坚持普查和防治相结合，明确药剂防治范围、规模，制定详细的防治计划，提高药剂防治效率，保障防控效果。</w:t>
      </w:r>
    </w:p>
    <w:p w14:paraId="0CA1BAF7">
      <w:pPr>
        <w:tabs>
          <w:tab w:val="left" w:pos="498"/>
        </w:tabs>
        <w:spacing w:line="360" w:lineRule="auto"/>
        <w:ind w:firstLine="420" w:firstLineChars="200"/>
        <w:jc w:val="left"/>
        <w:rPr>
          <w:rFonts w:hint="eastAsia" w:ascii="宋体" w:hAnsi="宋体" w:eastAsia="宋体" w:cs="宋体"/>
          <w:sz w:val="21"/>
          <w:szCs w:val="18"/>
        </w:rPr>
      </w:pPr>
      <w:r>
        <w:rPr>
          <w:rFonts w:hint="eastAsia" w:ascii="宋体" w:hAnsi="宋体" w:eastAsia="宋体" w:cs="宋体"/>
          <w:sz w:val="21"/>
          <w:szCs w:val="18"/>
          <w:lang w:val="en-US" w:eastAsia="zh-CN"/>
        </w:rPr>
        <w:t>2</w:t>
      </w:r>
      <w:r>
        <w:rPr>
          <w:rFonts w:hint="eastAsia" w:ascii="宋体" w:hAnsi="宋体" w:eastAsia="宋体" w:cs="宋体"/>
          <w:sz w:val="21"/>
          <w:szCs w:val="18"/>
        </w:rPr>
        <w:t>、坚持安全施药。按照《西安市秦岭生态环境保护条例》要求，做好药剂、防治药械使用知识培训和安全生产教育。严格执行《条例》规定的“施工产生的弃渣、弃土和其他废弃物应当回收利用或者运输到指定地点消纳，不得破坏生态景观、污染河流水系，不得向耕地、林地、河道、水库、湖泊等法律、法规禁止倾倒、堆放的地点倾倒、堆放。”，坚持安全用药，防止监测普查过程对林区生态环境造成环境污染。</w:t>
      </w:r>
    </w:p>
    <w:p w14:paraId="6576844D">
      <w:pPr>
        <w:tabs>
          <w:tab w:val="left" w:pos="498"/>
        </w:tabs>
        <w:spacing w:line="360" w:lineRule="auto"/>
        <w:ind w:firstLine="420" w:firstLineChars="200"/>
        <w:jc w:val="left"/>
        <w:rPr>
          <w:rFonts w:hint="eastAsia" w:ascii="宋体" w:hAnsi="宋体" w:eastAsia="宋体" w:cs="宋体"/>
          <w:sz w:val="21"/>
          <w:szCs w:val="18"/>
        </w:rPr>
      </w:pPr>
      <w:r>
        <w:rPr>
          <w:rFonts w:hint="eastAsia" w:ascii="宋体" w:hAnsi="宋体" w:eastAsia="宋体" w:cs="宋体"/>
          <w:sz w:val="21"/>
          <w:szCs w:val="18"/>
          <w:lang w:val="en-US" w:eastAsia="zh-CN"/>
        </w:rPr>
        <w:t>3</w:t>
      </w:r>
      <w:r>
        <w:rPr>
          <w:rFonts w:hint="eastAsia" w:ascii="宋体" w:hAnsi="宋体" w:eastAsia="宋体" w:cs="宋体"/>
          <w:sz w:val="21"/>
          <w:szCs w:val="18"/>
        </w:rPr>
        <w:t>、及时做好防治效果调查。对防治效果不理想的林地及时进行补防，确保防治技术指标的完成，并认真建立防治档案，为今后防控工作提供科学依据。</w:t>
      </w:r>
    </w:p>
    <w:p w14:paraId="104D0DD4">
      <w:pPr>
        <w:numPr>
          <w:ilvl w:val="0"/>
          <w:numId w:val="0"/>
        </w:numPr>
        <w:tabs>
          <w:tab w:val="left" w:pos="498"/>
        </w:tabs>
        <w:spacing w:line="360" w:lineRule="auto"/>
        <w:ind w:left="0" w:leftChars="0" w:firstLine="0" w:firstLineChars="0"/>
        <w:jc w:val="left"/>
        <w:rPr>
          <w:rFonts w:hint="eastAsia" w:ascii="宋体" w:hAnsi="宋体" w:eastAsia="宋体" w:cs="宋体"/>
          <w:b/>
          <w:sz w:val="24"/>
          <w:szCs w:val="24"/>
        </w:rPr>
      </w:pPr>
      <w:r>
        <w:rPr>
          <w:rFonts w:hint="eastAsia" w:ascii="宋体" w:hAnsi="宋体" w:eastAsia="宋体" w:cs="宋体"/>
          <w:b/>
          <w:sz w:val="24"/>
          <w:szCs w:val="24"/>
          <w:lang w:val="en-US" w:eastAsia="zh-CN"/>
        </w:rPr>
        <w:t>五</w:t>
      </w:r>
      <w:r>
        <w:rPr>
          <w:rFonts w:hint="eastAsia" w:ascii="宋体" w:hAnsi="宋体" w:eastAsia="宋体" w:cs="宋体"/>
          <w:b/>
          <w:bCs w:val="0"/>
          <w:sz w:val="24"/>
          <w:szCs w:val="24"/>
        </w:rPr>
        <w:t>、</w:t>
      </w:r>
      <w:r>
        <w:rPr>
          <w:rFonts w:hint="eastAsia" w:ascii="宋体" w:hAnsi="宋体" w:eastAsia="宋体" w:cs="宋体"/>
          <w:b/>
          <w:sz w:val="24"/>
          <w:szCs w:val="24"/>
        </w:rPr>
        <w:t>合同争议的解决：</w:t>
      </w:r>
    </w:p>
    <w:p w14:paraId="27DF8772">
      <w:pPr>
        <w:numPr>
          <w:ilvl w:val="0"/>
          <w:numId w:val="0"/>
        </w:numPr>
        <w:tabs>
          <w:tab w:val="left" w:pos="498"/>
        </w:tabs>
        <w:spacing w:line="360" w:lineRule="auto"/>
        <w:ind w:left="0" w:leftChars="0" w:firstLine="420" w:firstLineChars="200"/>
        <w:jc w:val="left"/>
        <w:rPr>
          <w:rFonts w:hint="eastAsia" w:ascii="宋体" w:hAnsi="宋体" w:eastAsia="宋体" w:cs="宋体"/>
          <w:sz w:val="21"/>
          <w:szCs w:val="18"/>
        </w:rPr>
      </w:pPr>
      <w:r>
        <w:rPr>
          <w:rFonts w:hint="eastAsia" w:ascii="宋体" w:hAnsi="宋体" w:eastAsia="宋体" w:cs="宋体"/>
          <w:sz w:val="21"/>
          <w:szCs w:val="18"/>
        </w:rPr>
        <w:t>合同执行中发生争议的，当事人双方应协商解决，协商达不成一致时，可向采购人所在地人民法院提请诉讼。</w:t>
      </w:r>
    </w:p>
    <w:p w14:paraId="6892F900">
      <w:pPr>
        <w:tabs>
          <w:tab w:val="left" w:pos="498"/>
        </w:tabs>
        <w:spacing w:line="360" w:lineRule="auto"/>
        <w:ind w:left="480" w:hanging="482" w:hangingChars="200"/>
        <w:jc w:val="left"/>
        <w:rPr>
          <w:rFonts w:hint="eastAsia" w:ascii="宋体" w:hAnsi="宋体" w:eastAsia="宋体" w:cs="宋体"/>
          <w:sz w:val="24"/>
          <w:szCs w:val="24"/>
        </w:rPr>
      </w:pPr>
      <w:r>
        <w:rPr>
          <w:rFonts w:hint="eastAsia" w:ascii="宋体" w:hAnsi="宋体" w:eastAsia="宋体" w:cs="宋体"/>
          <w:b/>
          <w:bCs w:val="0"/>
          <w:sz w:val="24"/>
          <w:szCs w:val="24"/>
          <w:lang w:val="en-US" w:eastAsia="zh-CN"/>
        </w:rPr>
        <w:t>六</w:t>
      </w:r>
      <w:r>
        <w:rPr>
          <w:rFonts w:hint="eastAsia" w:ascii="宋体" w:hAnsi="宋体" w:eastAsia="宋体" w:cs="宋体"/>
          <w:b/>
          <w:bCs w:val="0"/>
          <w:sz w:val="24"/>
          <w:szCs w:val="24"/>
        </w:rPr>
        <w:t>、不可抗力情况下的免责约定</w:t>
      </w:r>
      <w:r>
        <w:rPr>
          <w:rFonts w:hint="eastAsia" w:ascii="宋体" w:hAnsi="宋体" w:eastAsia="宋体" w:cs="宋体"/>
          <w:b/>
          <w:bCs w:val="0"/>
          <w:sz w:val="24"/>
          <w:szCs w:val="24"/>
          <w:lang w:eastAsia="zh-CN"/>
        </w:rPr>
        <w:t>：</w:t>
      </w:r>
      <w:r>
        <w:rPr>
          <w:rFonts w:hint="eastAsia" w:ascii="宋体" w:hAnsi="宋体" w:eastAsia="宋体" w:cs="宋体"/>
          <w:sz w:val="24"/>
          <w:szCs w:val="24"/>
        </w:rPr>
        <w:br w:type="textWrapping"/>
      </w:r>
      <w:r>
        <w:rPr>
          <w:rFonts w:hint="eastAsia" w:ascii="宋体" w:hAnsi="宋体" w:eastAsia="宋体" w:cs="宋体"/>
          <w:sz w:val="21"/>
          <w:szCs w:val="18"/>
        </w:rPr>
        <w:t>不可抗力情况下的免责约定，双方约定不可抗力情况包括：五级以上地震、大风、大雨、大雪。</w:t>
      </w:r>
    </w:p>
    <w:p w14:paraId="0C6518DF">
      <w:pPr>
        <w:tabs>
          <w:tab w:val="left" w:pos="498"/>
        </w:tabs>
        <w:spacing w:line="360" w:lineRule="auto"/>
        <w:jc w:val="left"/>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七</w:t>
      </w:r>
      <w:r>
        <w:rPr>
          <w:rFonts w:hint="eastAsia" w:ascii="宋体" w:hAnsi="宋体" w:eastAsia="宋体" w:cs="宋体"/>
          <w:b/>
          <w:bCs w:val="0"/>
          <w:sz w:val="24"/>
          <w:szCs w:val="24"/>
        </w:rPr>
        <w:t>、合同执行中发生争议</w:t>
      </w:r>
      <w:r>
        <w:rPr>
          <w:rFonts w:hint="eastAsia" w:ascii="宋体" w:hAnsi="宋体" w:eastAsia="宋体" w:cs="宋体"/>
          <w:b/>
          <w:bCs w:val="0"/>
          <w:sz w:val="24"/>
          <w:szCs w:val="24"/>
          <w:lang w:eastAsia="zh-CN"/>
        </w:rPr>
        <w:t>：</w:t>
      </w:r>
    </w:p>
    <w:p w14:paraId="39C56CEF">
      <w:pPr>
        <w:tabs>
          <w:tab w:val="left" w:pos="498"/>
        </w:tabs>
        <w:spacing w:line="360" w:lineRule="auto"/>
        <w:ind w:firstLine="420" w:firstLineChars="200"/>
        <w:jc w:val="left"/>
        <w:rPr>
          <w:rFonts w:hint="eastAsia" w:ascii="宋体" w:hAnsi="宋体" w:eastAsia="宋体" w:cs="宋体"/>
          <w:b w:val="0"/>
          <w:sz w:val="21"/>
          <w:szCs w:val="18"/>
        </w:rPr>
      </w:pPr>
      <w:r>
        <w:rPr>
          <w:rFonts w:hint="eastAsia" w:ascii="宋体" w:hAnsi="宋体" w:eastAsia="宋体" w:cs="宋体"/>
          <w:sz w:val="21"/>
          <w:szCs w:val="18"/>
        </w:rPr>
        <w:t xml:space="preserve">合同执行中发生争议的，当事人双方应协商解决，协商达不成一致时，双方同意向西安市仲裁委员会申请仲裁。   </w:t>
      </w:r>
    </w:p>
    <w:p w14:paraId="7CA1D6B7">
      <w:pPr>
        <w:spacing w:line="360" w:lineRule="auto"/>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八</w:t>
      </w:r>
      <w:r>
        <w:rPr>
          <w:rFonts w:hint="eastAsia" w:ascii="宋体" w:hAnsi="宋体" w:eastAsia="宋体" w:cs="宋体"/>
          <w:b/>
          <w:bCs w:val="0"/>
          <w:sz w:val="24"/>
          <w:szCs w:val="24"/>
        </w:rPr>
        <w:t>、合同</w:t>
      </w:r>
      <w:r>
        <w:rPr>
          <w:rFonts w:hint="eastAsia" w:ascii="宋体" w:hAnsi="宋体" w:eastAsia="宋体" w:cs="宋体"/>
          <w:b/>
          <w:bCs w:val="0"/>
          <w:sz w:val="24"/>
          <w:szCs w:val="24"/>
          <w:lang w:val="en-US" w:eastAsia="zh-CN"/>
        </w:rPr>
        <w:t>变更</w:t>
      </w:r>
      <w:r>
        <w:rPr>
          <w:rFonts w:hint="eastAsia" w:ascii="宋体" w:hAnsi="宋体" w:eastAsia="宋体" w:cs="宋体"/>
          <w:b/>
          <w:bCs w:val="0"/>
          <w:sz w:val="24"/>
          <w:szCs w:val="24"/>
          <w:lang w:eastAsia="zh-CN"/>
        </w:rPr>
        <w:t>：</w:t>
      </w:r>
    </w:p>
    <w:p w14:paraId="0D41A789">
      <w:pPr>
        <w:tabs>
          <w:tab w:val="left" w:pos="498"/>
        </w:tabs>
        <w:spacing w:line="360" w:lineRule="auto"/>
        <w:ind w:firstLine="420" w:firstLineChars="200"/>
        <w:rPr>
          <w:rFonts w:hint="eastAsia" w:ascii="宋体" w:hAnsi="宋体" w:eastAsia="宋体" w:cs="宋体"/>
          <w:sz w:val="21"/>
          <w:szCs w:val="18"/>
        </w:rPr>
      </w:pPr>
      <w:r>
        <w:rPr>
          <w:rFonts w:hint="eastAsia" w:ascii="宋体" w:hAnsi="宋体" w:eastAsia="宋体" w:cs="宋体"/>
          <w:sz w:val="21"/>
          <w:szCs w:val="18"/>
        </w:rPr>
        <w:t>除本合同约定，合同一经签订，不得擅自变更、中止或者终止合同。对确需变更、调整或者中止、终止合同的，应按规定履行相应的手续。</w:t>
      </w:r>
    </w:p>
    <w:p w14:paraId="20CAEE90">
      <w:pPr>
        <w:spacing w:line="360" w:lineRule="auto"/>
        <w:ind w:left="482" w:hanging="482" w:hangingChars="200"/>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九</w:t>
      </w:r>
      <w:r>
        <w:rPr>
          <w:rFonts w:hint="eastAsia" w:ascii="宋体" w:hAnsi="宋体" w:eastAsia="宋体" w:cs="宋体"/>
          <w:b/>
          <w:sz w:val="24"/>
          <w:szCs w:val="24"/>
        </w:rPr>
        <w:t>、其他</w:t>
      </w:r>
      <w:r>
        <w:rPr>
          <w:rFonts w:hint="eastAsia" w:ascii="宋体" w:hAnsi="宋体" w:eastAsia="宋体" w:cs="宋体"/>
          <w:b/>
          <w:sz w:val="24"/>
          <w:szCs w:val="24"/>
          <w:lang w:val="en-US" w:eastAsia="zh-CN"/>
        </w:rPr>
        <w:t>:</w:t>
      </w:r>
      <w:r>
        <w:rPr>
          <w:rFonts w:hint="eastAsia" w:ascii="宋体" w:hAnsi="宋体" w:eastAsia="宋体" w:cs="宋体"/>
          <w:b/>
          <w:sz w:val="24"/>
          <w:szCs w:val="24"/>
          <w:lang w:val="en-US" w:eastAsia="zh-CN"/>
        </w:rPr>
        <w:br w:type="textWrapping"/>
      </w:r>
      <w:r>
        <w:rPr>
          <w:rFonts w:hint="eastAsia" w:ascii="宋体" w:hAnsi="宋体" w:eastAsia="宋体" w:cs="宋体"/>
          <w:color w:val="auto"/>
          <w:sz w:val="21"/>
          <w:szCs w:val="21"/>
          <w:highlight w:val="none"/>
          <w:u w:val="single"/>
        </w:rPr>
        <w:t xml:space="preserve">                                   </w:t>
      </w:r>
    </w:p>
    <w:p w14:paraId="420D4B6D">
      <w:pPr>
        <w:spacing w:line="360" w:lineRule="auto"/>
        <w:ind w:firstLine="0" w:firstLineChars="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十</w:t>
      </w:r>
      <w:r>
        <w:rPr>
          <w:rFonts w:hint="eastAsia" w:ascii="宋体" w:hAnsi="宋体" w:eastAsia="宋体" w:cs="宋体"/>
          <w:b/>
          <w:bCs/>
          <w:color w:val="auto"/>
          <w:sz w:val="24"/>
          <w:szCs w:val="24"/>
          <w:highlight w:val="none"/>
        </w:rPr>
        <w:t>、项目费用结算:</w:t>
      </w:r>
    </w:p>
    <w:p w14:paraId="52B35672">
      <w:pPr>
        <w:tabs>
          <w:tab w:val="left" w:pos="498"/>
        </w:tabs>
        <w:spacing w:line="360" w:lineRule="auto"/>
        <w:ind w:firstLine="420" w:firstLineChars="200"/>
        <w:rPr>
          <w:rFonts w:hint="eastAsia" w:ascii="宋体" w:hAnsi="宋体" w:eastAsia="宋体" w:cs="宋体"/>
          <w:sz w:val="21"/>
          <w:szCs w:val="18"/>
          <w:highlight w:val="none"/>
        </w:rPr>
      </w:pPr>
      <w:r>
        <w:rPr>
          <w:rFonts w:hint="eastAsia" w:ascii="宋体" w:hAnsi="宋体" w:eastAsia="宋体" w:cs="宋体"/>
          <w:sz w:val="21"/>
          <w:szCs w:val="18"/>
          <w:highlight w:val="none"/>
        </w:rPr>
        <w:t>项目总计费用为人民币</w:t>
      </w:r>
      <w:r>
        <w:rPr>
          <w:rFonts w:hint="eastAsia" w:ascii="宋体" w:hAnsi="宋体" w:eastAsia="宋体" w:cs="宋体"/>
          <w:sz w:val="21"/>
          <w:szCs w:val="18"/>
          <w:highlight w:val="none"/>
          <w:u w:val="single"/>
        </w:rPr>
        <w:t xml:space="preserve">       </w:t>
      </w:r>
      <w:r>
        <w:rPr>
          <w:rFonts w:hint="eastAsia" w:ascii="宋体" w:hAnsi="宋体" w:eastAsia="宋体" w:cs="宋体"/>
          <w:sz w:val="21"/>
          <w:szCs w:val="18"/>
          <w:highlight w:val="none"/>
        </w:rPr>
        <w:t>元，大写</w:t>
      </w:r>
      <w:r>
        <w:rPr>
          <w:rFonts w:hint="eastAsia" w:ascii="宋体" w:hAnsi="宋体" w:eastAsia="宋体" w:cs="宋体"/>
          <w:sz w:val="21"/>
          <w:szCs w:val="18"/>
          <w:highlight w:val="none"/>
          <w:u w:val="single"/>
        </w:rPr>
        <w:t xml:space="preserve">      </w:t>
      </w:r>
      <w:r>
        <w:rPr>
          <w:rFonts w:hint="eastAsia" w:ascii="宋体" w:hAnsi="宋体" w:eastAsia="宋体" w:cs="宋体"/>
          <w:sz w:val="21"/>
          <w:szCs w:val="18"/>
          <w:highlight w:val="none"/>
        </w:rPr>
        <w:t>元整。</w:t>
      </w:r>
    </w:p>
    <w:p w14:paraId="02A6BF9B">
      <w:pPr>
        <w:tabs>
          <w:tab w:val="left" w:pos="498"/>
        </w:tabs>
        <w:spacing w:line="360" w:lineRule="auto"/>
        <w:ind w:firstLine="420" w:firstLineChars="200"/>
        <w:rPr>
          <w:rFonts w:hint="eastAsia" w:ascii="宋体" w:hAnsi="宋体" w:eastAsia="宋体" w:cs="宋体"/>
          <w:sz w:val="21"/>
          <w:szCs w:val="18"/>
          <w:highlight w:val="none"/>
        </w:rPr>
      </w:pPr>
      <w:r>
        <w:rPr>
          <w:rFonts w:hint="eastAsia" w:ascii="宋体" w:hAnsi="宋体" w:eastAsia="宋体" w:cs="宋体"/>
          <w:kern w:val="2"/>
          <w:sz w:val="21"/>
          <w:szCs w:val="18"/>
          <w:highlight w:val="none"/>
        </w:rPr>
        <w:t>项目实施结束后，乙方报请甲方验收，并经主管部门验收合格后，在甲方处办理百分之九十</w:t>
      </w:r>
      <w:r>
        <w:rPr>
          <w:rFonts w:hint="eastAsia" w:ascii="宋体" w:hAnsi="宋体" w:eastAsia="宋体" w:cs="宋体"/>
          <w:kern w:val="2"/>
          <w:sz w:val="21"/>
          <w:szCs w:val="18"/>
          <w:highlight w:val="none"/>
          <w:lang w:val="en-US" w:eastAsia="zh-CN"/>
        </w:rPr>
        <w:t>五</w:t>
      </w:r>
      <w:r>
        <w:rPr>
          <w:rFonts w:hint="eastAsia" w:ascii="宋体" w:hAnsi="宋体" w:eastAsia="宋体" w:cs="宋体"/>
          <w:sz w:val="21"/>
          <w:szCs w:val="18"/>
          <w:highlight w:val="none"/>
        </w:rPr>
        <w:t>（9</w:t>
      </w:r>
      <w:r>
        <w:rPr>
          <w:rFonts w:hint="eastAsia" w:ascii="宋体" w:hAnsi="宋体" w:eastAsia="宋体" w:cs="宋体"/>
          <w:sz w:val="21"/>
          <w:szCs w:val="18"/>
          <w:highlight w:val="none"/>
          <w:lang w:val="en-US" w:eastAsia="zh-CN"/>
        </w:rPr>
        <w:t>5</w:t>
      </w:r>
      <w:r>
        <w:rPr>
          <w:rFonts w:hint="eastAsia" w:ascii="宋体" w:hAnsi="宋体" w:eastAsia="宋体" w:cs="宋体"/>
          <w:sz w:val="21"/>
          <w:szCs w:val="18"/>
          <w:highlight w:val="none"/>
        </w:rPr>
        <w:t>%）工程款的支付手续；剩余合同总金额百分之</w:t>
      </w:r>
      <w:r>
        <w:rPr>
          <w:rFonts w:hint="eastAsia" w:ascii="宋体" w:hAnsi="宋体" w:eastAsia="宋体" w:cs="宋体"/>
          <w:sz w:val="21"/>
          <w:szCs w:val="18"/>
          <w:highlight w:val="none"/>
          <w:lang w:val="en-US" w:eastAsia="zh-CN"/>
        </w:rPr>
        <w:t>五</w:t>
      </w:r>
      <w:r>
        <w:rPr>
          <w:rFonts w:hint="eastAsia" w:ascii="宋体" w:hAnsi="宋体" w:eastAsia="宋体" w:cs="宋体"/>
          <w:sz w:val="21"/>
          <w:szCs w:val="18"/>
          <w:highlight w:val="none"/>
        </w:rPr>
        <w:t>（</w:t>
      </w:r>
      <w:r>
        <w:rPr>
          <w:rFonts w:hint="eastAsia" w:ascii="宋体" w:hAnsi="宋体" w:eastAsia="宋体" w:cs="宋体"/>
          <w:sz w:val="21"/>
          <w:szCs w:val="18"/>
          <w:highlight w:val="none"/>
          <w:lang w:val="en-US" w:eastAsia="zh-CN"/>
        </w:rPr>
        <w:t>5</w:t>
      </w:r>
      <w:r>
        <w:rPr>
          <w:rFonts w:hint="eastAsia" w:ascii="宋体" w:hAnsi="宋体" w:eastAsia="宋体" w:cs="宋体"/>
          <w:sz w:val="21"/>
          <w:szCs w:val="18"/>
          <w:highlight w:val="none"/>
        </w:rPr>
        <w:t>%）作为质保金，自终验结束之日起12个月内，在无索赔争议的情况下，在甲方处办理百分之</w:t>
      </w:r>
      <w:r>
        <w:rPr>
          <w:rFonts w:hint="eastAsia" w:ascii="宋体" w:hAnsi="宋体" w:eastAsia="宋体" w:cs="宋体"/>
          <w:sz w:val="21"/>
          <w:szCs w:val="18"/>
          <w:highlight w:val="none"/>
          <w:lang w:val="en-US" w:eastAsia="zh-CN"/>
        </w:rPr>
        <w:t>五</w:t>
      </w:r>
      <w:r>
        <w:rPr>
          <w:rFonts w:hint="eastAsia" w:ascii="宋体" w:hAnsi="宋体" w:eastAsia="宋体" w:cs="宋体"/>
          <w:sz w:val="21"/>
          <w:szCs w:val="18"/>
          <w:highlight w:val="none"/>
        </w:rPr>
        <w:t>（</w:t>
      </w:r>
      <w:r>
        <w:rPr>
          <w:rFonts w:hint="eastAsia" w:ascii="宋体" w:hAnsi="宋体" w:eastAsia="宋体" w:cs="宋体"/>
          <w:sz w:val="21"/>
          <w:szCs w:val="18"/>
          <w:highlight w:val="none"/>
          <w:lang w:val="en-US" w:eastAsia="zh-CN"/>
        </w:rPr>
        <w:t>5</w:t>
      </w:r>
      <w:r>
        <w:rPr>
          <w:rFonts w:hint="eastAsia" w:ascii="宋体" w:hAnsi="宋体" w:eastAsia="宋体" w:cs="宋体"/>
          <w:sz w:val="21"/>
          <w:szCs w:val="18"/>
          <w:highlight w:val="none"/>
        </w:rPr>
        <w:t>%）工程款的支付手续。</w:t>
      </w:r>
    </w:p>
    <w:p w14:paraId="5210E454">
      <w:pPr>
        <w:tabs>
          <w:tab w:val="left" w:pos="498"/>
        </w:tabs>
        <w:spacing w:line="360" w:lineRule="auto"/>
        <w:ind w:firstLine="420" w:firstLineChars="200"/>
        <w:rPr>
          <w:rFonts w:hint="eastAsia" w:ascii="宋体" w:hAnsi="宋体" w:eastAsia="宋体" w:cs="宋体"/>
          <w:bCs w:val="0"/>
          <w:kern w:val="2"/>
          <w:sz w:val="21"/>
          <w:szCs w:val="18"/>
          <w:lang w:val="en-US" w:eastAsia="zh-CN" w:bidi="ar-SA"/>
        </w:rPr>
      </w:pPr>
      <w:r>
        <w:rPr>
          <w:rFonts w:hint="eastAsia" w:ascii="宋体" w:hAnsi="宋体" w:eastAsia="宋体" w:cs="宋体"/>
          <w:sz w:val="21"/>
          <w:szCs w:val="18"/>
          <w:highlight w:val="none"/>
        </w:rPr>
        <w:t>乙方提供全部正式税务发票。</w:t>
      </w:r>
    </w:p>
    <w:p w14:paraId="4FD30AE6">
      <w:pPr>
        <w:adjustRightInd/>
        <w:snapToGrid/>
        <w:spacing w:line="360" w:lineRule="auto"/>
        <w:ind w:firstLine="0" w:firstLineChars="0"/>
        <w:rPr>
          <w:rFonts w:hint="default" w:ascii="Times New Roman" w:hAnsi="Times New Roman" w:eastAsia="宋体" w:cs="Times New Roman"/>
          <w:sz w:val="24"/>
          <w:szCs w:val="24"/>
        </w:rPr>
      </w:pPr>
      <w:r>
        <w:rPr>
          <w:rFonts w:hint="eastAsia" w:ascii="宋体" w:hAnsi="宋体" w:eastAsia="宋体" w:cs="宋体"/>
          <w:b/>
          <w:sz w:val="24"/>
          <w:szCs w:val="24"/>
        </w:rPr>
        <w:t>十</w:t>
      </w:r>
      <w:r>
        <w:rPr>
          <w:rFonts w:hint="eastAsia" w:ascii="宋体" w:hAnsi="宋体" w:eastAsia="宋体" w:cs="宋体"/>
          <w:b/>
          <w:sz w:val="24"/>
          <w:szCs w:val="24"/>
          <w:lang w:eastAsia="zh-CN"/>
        </w:rPr>
        <w:t>一</w:t>
      </w:r>
      <w:r>
        <w:rPr>
          <w:rFonts w:hint="eastAsia" w:ascii="宋体" w:hAnsi="宋体" w:eastAsia="宋体" w:cs="宋体"/>
          <w:b/>
          <w:sz w:val="24"/>
          <w:szCs w:val="24"/>
        </w:rPr>
        <w:t>、合同订立</w:t>
      </w:r>
      <w:r>
        <w:rPr>
          <w:rFonts w:hint="eastAsia" w:ascii="宋体" w:hAnsi="宋体" w:eastAsia="宋体" w:cs="宋体"/>
          <w:b/>
          <w:bCs/>
          <w:color w:val="auto"/>
          <w:sz w:val="24"/>
          <w:szCs w:val="24"/>
          <w:highlight w:val="none"/>
        </w:rPr>
        <w:t>:</w:t>
      </w:r>
    </w:p>
    <w:p w14:paraId="40C4BA81">
      <w:pPr>
        <w:tabs>
          <w:tab w:val="left" w:pos="498"/>
        </w:tabs>
        <w:adjustRightInd/>
        <w:snapToGrid/>
        <w:spacing w:line="360" w:lineRule="auto"/>
        <w:ind w:firstLine="420" w:firstLineChars="200"/>
        <w:rPr>
          <w:rFonts w:hint="eastAsia" w:ascii="宋体" w:hAnsi="宋体" w:eastAsia="宋体" w:cs="宋体"/>
          <w:sz w:val="21"/>
          <w:szCs w:val="18"/>
          <w:u w:val="single"/>
        </w:rPr>
      </w:pPr>
      <w:r>
        <w:rPr>
          <w:rFonts w:hint="eastAsia" w:ascii="宋体" w:hAnsi="宋体" w:eastAsia="宋体" w:cs="宋体"/>
          <w:sz w:val="21"/>
          <w:szCs w:val="18"/>
        </w:rPr>
        <w:t>1. 订立时间：</w:t>
      </w:r>
      <w:r>
        <w:rPr>
          <w:rFonts w:hint="eastAsia" w:ascii="宋体" w:hAnsi="宋体" w:eastAsia="宋体" w:cs="宋体"/>
          <w:sz w:val="21"/>
          <w:szCs w:val="18"/>
          <w:u w:val="single"/>
        </w:rPr>
        <w:t xml:space="preserve">       </w:t>
      </w:r>
      <w:r>
        <w:rPr>
          <w:rFonts w:hint="eastAsia" w:ascii="宋体" w:hAnsi="宋体" w:eastAsia="宋体" w:cs="宋体"/>
          <w:sz w:val="21"/>
          <w:szCs w:val="18"/>
          <w:u w:val="none"/>
        </w:rPr>
        <w:t>年</w:t>
      </w:r>
      <w:r>
        <w:rPr>
          <w:rFonts w:hint="eastAsia" w:ascii="宋体" w:hAnsi="宋体" w:eastAsia="宋体" w:cs="宋体"/>
          <w:sz w:val="21"/>
          <w:szCs w:val="18"/>
          <w:u w:val="single"/>
        </w:rPr>
        <w:t xml:space="preserve">  </w:t>
      </w:r>
      <w:r>
        <w:rPr>
          <w:rFonts w:hint="eastAsia" w:ascii="宋体" w:hAnsi="宋体" w:cs="宋体"/>
          <w:sz w:val="21"/>
          <w:szCs w:val="18"/>
          <w:u w:val="single"/>
          <w:lang w:val="en-US" w:eastAsia="zh-CN"/>
        </w:rPr>
        <w:t xml:space="preserve">   </w:t>
      </w:r>
      <w:r>
        <w:rPr>
          <w:rFonts w:hint="eastAsia" w:ascii="宋体" w:hAnsi="宋体" w:eastAsia="宋体" w:cs="宋体"/>
          <w:sz w:val="21"/>
          <w:szCs w:val="18"/>
          <w:u w:val="none"/>
        </w:rPr>
        <w:t>月</w:t>
      </w:r>
      <w:r>
        <w:rPr>
          <w:rFonts w:hint="eastAsia" w:ascii="宋体" w:hAnsi="宋体" w:eastAsia="宋体" w:cs="宋体"/>
          <w:sz w:val="21"/>
          <w:szCs w:val="18"/>
          <w:u w:val="single"/>
        </w:rPr>
        <w:t xml:space="preserve">  </w:t>
      </w:r>
      <w:r>
        <w:rPr>
          <w:rFonts w:hint="eastAsia" w:ascii="宋体" w:hAnsi="宋体" w:eastAsia="宋体" w:cs="宋体"/>
          <w:sz w:val="21"/>
          <w:szCs w:val="18"/>
          <w:u w:val="single"/>
          <w:lang w:val="en-US" w:eastAsia="zh-CN"/>
        </w:rPr>
        <w:t xml:space="preserve"> </w:t>
      </w:r>
      <w:r>
        <w:rPr>
          <w:rFonts w:hint="eastAsia" w:ascii="宋体" w:hAnsi="宋体" w:cs="宋体"/>
          <w:sz w:val="21"/>
          <w:szCs w:val="18"/>
          <w:u w:val="single"/>
          <w:lang w:val="en-US" w:eastAsia="zh-CN"/>
        </w:rPr>
        <w:t xml:space="preserve"> </w:t>
      </w:r>
      <w:r>
        <w:rPr>
          <w:rFonts w:hint="eastAsia" w:ascii="宋体" w:hAnsi="宋体" w:eastAsia="宋体" w:cs="宋体"/>
          <w:sz w:val="21"/>
          <w:szCs w:val="18"/>
          <w:u w:val="none"/>
        </w:rPr>
        <w:t>日</w:t>
      </w:r>
    </w:p>
    <w:p w14:paraId="0FB24937">
      <w:pPr>
        <w:tabs>
          <w:tab w:val="left" w:pos="498"/>
        </w:tabs>
        <w:adjustRightInd/>
        <w:snapToGrid/>
        <w:spacing w:line="360" w:lineRule="auto"/>
        <w:ind w:firstLine="420" w:firstLineChars="200"/>
        <w:rPr>
          <w:rFonts w:hint="eastAsia" w:ascii="宋体" w:hAnsi="宋体" w:eastAsia="宋体" w:cs="宋体"/>
          <w:sz w:val="21"/>
          <w:szCs w:val="18"/>
        </w:rPr>
      </w:pPr>
      <w:r>
        <w:rPr>
          <w:rFonts w:hint="eastAsia" w:ascii="宋体" w:hAnsi="宋体" w:eastAsia="宋体" w:cs="宋体"/>
          <w:sz w:val="21"/>
          <w:szCs w:val="18"/>
        </w:rPr>
        <w:t>2. 订立地点：</w:t>
      </w:r>
      <w:r>
        <w:rPr>
          <w:rFonts w:hint="eastAsia" w:ascii="宋体" w:hAnsi="宋体" w:eastAsia="宋体" w:cs="宋体"/>
          <w:sz w:val="21"/>
          <w:szCs w:val="18"/>
          <w:u w:val="single"/>
        </w:rPr>
        <w:t xml:space="preserve">                              </w:t>
      </w:r>
      <w:r>
        <w:rPr>
          <w:rFonts w:hint="eastAsia" w:ascii="宋体" w:hAnsi="宋体" w:eastAsia="宋体" w:cs="宋体"/>
          <w:sz w:val="21"/>
          <w:szCs w:val="18"/>
          <w:u w:val="none"/>
        </w:rPr>
        <w:t xml:space="preserve">   </w:t>
      </w:r>
    </w:p>
    <w:p w14:paraId="1BF20B88">
      <w:pPr>
        <w:tabs>
          <w:tab w:val="left" w:pos="498"/>
        </w:tabs>
        <w:kinsoku/>
        <w:spacing w:line="360" w:lineRule="auto"/>
        <w:ind w:left="418" w:leftChars="174" w:firstLine="0" w:firstLineChars="0"/>
        <w:rPr>
          <w:rFonts w:hint="eastAsia" w:ascii="宋体" w:hAnsi="宋体" w:eastAsia="宋体" w:cs="宋体"/>
          <w:sz w:val="21"/>
          <w:szCs w:val="18"/>
        </w:rPr>
      </w:pPr>
      <w:r>
        <w:rPr>
          <w:rFonts w:hint="eastAsia" w:ascii="宋体" w:hAnsi="宋体" w:eastAsia="宋体" w:cs="宋体"/>
          <w:sz w:val="21"/>
          <w:szCs w:val="18"/>
          <w:lang w:val="en-US" w:eastAsia="zh-CN"/>
        </w:rPr>
        <w:t>3. 合同期限</w:t>
      </w:r>
      <w:r>
        <w:rPr>
          <w:rFonts w:hint="eastAsia" w:ascii="宋体" w:hAnsi="宋体" w:eastAsia="宋体" w:cs="宋体"/>
          <w:sz w:val="21"/>
          <w:szCs w:val="18"/>
          <w:u w:val="none"/>
          <w:lang w:val="en-US" w:eastAsia="zh-CN"/>
        </w:rPr>
        <w:t>：</w:t>
      </w:r>
      <w:r>
        <w:rPr>
          <w:rFonts w:hint="eastAsia" w:ascii="宋体" w:hAnsi="宋体" w:eastAsia="宋体" w:cs="宋体"/>
          <w:sz w:val="21"/>
          <w:szCs w:val="18"/>
          <w:u w:val="single"/>
        </w:rPr>
        <w:t xml:space="preserve">        </w:t>
      </w:r>
      <w:r>
        <w:rPr>
          <w:rFonts w:hint="eastAsia" w:ascii="宋体" w:hAnsi="宋体" w:eastAsia="宋体" w:cs="宋体"/>
          <w:sz w:val="21"/>
          <w:szCs w:val="18"/>
          <w:u w:val="none"/>
        </w:rPr>
        <w:t>年</w:t>
      </w:r>
      <w:r>
        <w:rPr>
          <w:rFonts w:hint="eastAsia" w:ascii="宋体" w:hAnsi="宋体" w:eastAsia="宋体" w:cs="宋体"/>
          <w:sz w:val="21"/>
          <w:szCs w:val="18"/>
          <w:u w:val="single"/>
        </w:rPr>
        <w:t xml:space="preserve">   </w:t>
      </w:r>
      <w:r>
        <w:rPr>
          <w:rFonts w:hint="eastAsia" w:ascii="宋体" w:hAnsi="宋体" w:eastAsia="宋体" w:cs="宋体"/>
          <w:sz w:val="21"/>
          <w:szCs w:val="18"/>
          <w:u w:val="none"/>
        </w:rPr>
        <w:t>月</w:t>
      </w:r>
      <w:r>
        <w:rPr>
          <w:rFonts w:hint="eastAsia" w:ascii="宋体" w:hAnsi="宋体" w:eastAsia="宋体" w:cs="宋体"/>
          <w:sz w:val="21"/>
          <w:szCs w:val="18"/>
          <w:u w:val="single"/>
        </w:rPr>
        <w:t xml:space="preserve">  </w:t>
      </w:r>
      <w:r>
        <w:rPr>
          <w:rFonts w:hint="eastAsia" w:ascii="宋体" w:hAnsi="宋体" w:eastAsia="宋体" w:cs="宋体"/>
          <w:sz w:val="21"/>
          <w:szCs w:val="18"/>
          <w:u w:val="single"/>
          <w:lang w:val="en-US" w:eastAsia="zh-CN"/>
        </w:rPr>
        <w:t xml:space="preserve"> </w:t>
      </w:r>
      <w:r>
        <w:rPr>
          <w:rFonts w:hint="eastAsia" w:ascii="宋体" w:hAnsi="宋体" w:eastAsia="宋体" w:cs="宋体"/>
          <w:sz w:val="21"/>
          <w:szCs w:val="18"/>
          <w:u w:val="none"/>
        </w:rPr>
        <w:t>日</w:t>
      </w:r>
      <w:r>
        <w:rPr>
          <w:rFonts w:hint="eastAsia" w:ascii="宋体" w:hAnsi="宋体" w:eastAsia="宋体" w:cs="宋体"/>
          <w:sz w:val="21"/>
          <w:szCs w:val="18"/>
          <w:lang w:val="en-US" w:eastAsia="zh-CN"/>
        </w:rPr>
        <w:t>至</w:t>
      </w:r>
      <w:r>
        <w:rPr>
          <w:rFonts w:hint="eastAsia" w:ascii="宋体" w:hAnsi="宋体" w:eastAsia="宋体" w:cs="宋体"/>
          <w:sz w:val="21"/>
          <w:szCs w:val="18"/>
          <w:u w:val="single"/>
        </w:rPr>
        <w:t xml:space="preserve">        </w:t>
      </w:r>
      <w:r>
        <w:rPr>
          <w:rFonts w:hint="eastAsia" w:ascii="宋体" w:hAnsi="宋体" w:eastAsia="宋体" w:cs="宋体"/>
          <w:sz w:val="21"/>
          <w:szCs w:val="18"/>
          <w:u w:val="none"/>
        </w:rPr>
        <w:t>年</w:t>
      </w:r>
      <w:r>
        <w:rPr>
          <w:rFonts w:hint="eastAsia" w:ascii="宋体" w:hAnsi="宋体" w:eastAsia="宋体" w:cs="宋体"/>
          <w:sz w:val="21"/>
          <w:szCs w:val="18"/>
          <w:u w:val="single"/>
        </w:rPr>
        <w:t xml:space="preserve">   </w:t>
      </w:r>
      <w:r>
        <w:rPr>
          <w:rFonts w:hint="eastAsia" w:ascii="宋体" w:hAnsi="宋体" w:eastAsia="宋体" w:cs="宋体"/>
          <w:sz w:val="21"/>
          <w:szCs w:val="18"/>
          <w:u w:val="none"/>
        </w:rPr>
        <w:t>月</w:t>
      </w:r>
      <w:r>
        <w:rPr>
          <w:rFonts w:hint="eastAsia" w:ascii="宋体" w:hAnsi="宋体" w:eastAsia="宋体" w:cs="宋体"/>
          <w:sz w:val="21"/>
          <w:szCs w:val="18"/>
          <w:u w:val="single"/>
        </w:rPr>
        <w:t xml:space="preserve">  </w:t>
      </w:r>
      <w:r>
        <w:rPr>
          <w:rFonts w:hint="eastAsia" w:ascii="宋体" w:hAnsi="宋体" w:eastAsia="宋体" w:cs="宋体"/>
          <w:sz w:val="21"/>
          <w:szCs w:val="18"/>
          <w:u w:val="single"/>
          <w:lang w:val="en-US" w:eastAsia="zh-CN"/>
        </w:rPr>
        <w:t xml:space="preserve"> </w:t>
      </w:r>
      <w:r>
        <w:rPr>
          <w:rFonts w:hint="eastAsia" w:ascii="宋体" w:hAnsi="宋体" w:eastAsia="宋体" w:cs="宋体"/>
          <w:sz w:val="21"/>
          <w:szCs w:val="18"/>
          <w:u w:val="none"/>
        </w:rPr>
        <w:t>日</w:t>
      </w:r>
      <w:r>
        <w:rPr>
          <w:rFonts w:hint="eastAsia" w:ascii="宋体" w:hAnsi="宋体" w:eastAsia="宋体" w:cs="宋体"/>
          <w:sz w:val="21"/>
          <w:szCs w:val="18"/>
        </w:rPr>
        <w:t>，</w:t>
      </w:r>
      <w:r>
        <w:rPr>
          <w:rFonts w:hint="eastAsia" w:ascii="宋体" w:hAnsi="宋体" w:eastAsia="宋体" w:cs="宋体"/>
          <w:sz w:val="21"/>
          <w:szCs w:val="18"/>
          <w:lang w:eastAsia="zh-CN"/>
        </w:rPr>
        <w:t>服务</w:t>
      </w:r>
      <w:r>
        <w:rPr>
          <w:rFonts w:hint="eastAsia" w:ascii="宋体" w:hAnsi="宋体" w:eastAsia="宋体" w:cs="宋体"/>
          <w:sz w:val="21"/>
          <w:szCs w:val="18"/>
          <w:lang w:val="en-US" w:eastAsia="zh-CN"/>
        </w:rPr>
        <w:t>期</w:t>
      </w:r>
      <w:r>
        <w:rPr>
          <w:rFonts w:hint="eastAsia" w:ascii="宋体" w:hAnsi="宋体" w:eastAsia="宋体" w:cs="宋体"/>
          <w:sz w:val="21"/>
          <w:szCs w:val="18"/>
        </w:rPr>
        <w:t>为</w:t>
      </w:r>
      <w:r>
        <w:rPr>
          <w:rFonts w:hint="eastAsia" w:ascii="宋体" w:hAnsi="宋体" w:eastAsia="宋体" w:cs="宋体"/>
          <w:sz w:val="21"/>
          <w:szCs w:val="18"/>
          <w:u w:val="single"/>
        </w:rPr>
        <w:t xml:space="preserve"> </w:t>
      </w:r>
      <w:r>
        <w:rPr>
          <w:rFonts w:hint="eastAsia" w:ascii="宋体" w:hAnsi="宋体" w:eastAsia="宋体" w:cs="宋体"/>
          <w:sz w:val="21"/>
          <w:szCs w:val="18"/>
          <w:u w:val="single"/>
          <w:lang w:val="en-US" w:eastAsia="zh-CN"/>
        </w:rPr>
        <w:t xml:space="preserve">   </w:t>
      </w:r>
      <w:r>
        <w:rPr>
          <w:rFonts w:hint="eastAsia" w:ascii="宋体" w:hAnsi="宋体" w:cs="宋体"/>
          <w:sz w:val="21"/>
          <w:szCs w:val="18"/>
          <w:u w:val="single"/>
          <w:lang w:val="en-US" w:eastAsia="zh-CN"/>
        </w:rPr>
        <w:t xml:space="preserve"> </w:t>
      </w:r>
      <w:r>
        <w:rPr>
          <w:rFonts w:hint="eastAsia" w:ascii="宋体" w:hAnsi="宋体" w:cs="宋体"/>
          <w:sz w:val="21"/>
          <w:szCs w:val="18"/>
          <w:u w:val="none"/>
          <w:lang w:val="en-US" w:eastAsia="zh-CN"/>
        </w:rPr>
        <w:t>日历</w:t>
      </w:r>
      <w:r>
        <w:rPr>
          <w:rFonts w:hint="eastAsia" w:ascii="宋体" w:hAnsi="宋体" w:eastAsia="宋体" w:cs="宋体"/>
          <w:sz w:val="21"/>
          <w:szCs w:val="18"/>
        </w:rPr>
        <w:t>天</w:t>
      </w:r>
      <w:r>
        <w:rPr>
          <w:rFonts w:hint="eastAsia" w:ascii="宋体" w:hAnsi="宋体" w:cs="宋体"/>
          <w:sz w:val="21"/>
          <w:szCs w:val="18"/>
          <w:lang w:eastAsia="zh-CN"/>
        </w:rPr>
        <w:t>。</w:t>
      </w:r>
      <w:r>
        <w:rPr>
          <w:rFonts w:hint="eastAsia" w:ascii="宋体" w:hAnsi="宋体" w:eastAsia="宋体" w:cs="宋体"/>
          <w:sz w:val="21"/>
          <w:szCs w:val="18"/>
          <w:lang w:val="en-US" w:eastAsia="zh-CN"/>
        </w:rPr>
        <w:t xml:space="preserve">    </w:t>
      </w:r>
      <w:r>
        <w:rPr>
          <w:rFonts w:hint="eastAsia" w:ascii="宋体" w:hAnsi="宋体" w:eastAsia="宋体" w:cs="宋体"/>
          <w:sz w:val="21"/>
          <w:szCs w:val="18"/>
          <w:lang w:eastAsia="zh-CN"/>
        </w:rPr>
        <w:t>4</w:t>
      </w:r>
      <w:r>
        <w:rPr>
          <w:rFonts w:hint="eastAsia" w:ascii="宋体" w:hAnsi="宋体" w:eastAsia="宋体" w:cs="宋体"/>
          <w:sz w:val="21"/>
          <w:szCs w:val="18"/>
          <w:lang w:val="en-US" w:eastAsia="zh-CN"/>
        </w:rPr>
        <w:t>.</w:t>
      </w:r>
      <w:r>
        <w:rPr>
          <w:rFonts w:hint="eastAsia" w:ascii="宋体" w:hAnsi="宋体" w:eastAsia="宋体" w:cs="宋体"/>
          <w:sz w:val="21"/>
          <w:szCs w:val="18"/>
        </w:rPr>
        <w:t>本合同一式</w:t>
      </w:r>
      <w:r>
        <w:rPr>
          <w:rFonts w:hint="eastAsia" w:ascii="宋体" w:hAnsi="宋体" w:eastAsia="宋体" w:cs="宋体"/>
          <w:sz w:val="21"/>
          <w:szCs w:val="18"/>
          <w:u w:val="single"/>
        </w:rPr>
        <w:t xml:space="preserve">    </w:t>
      </w:r>
      <w:r>
        <w:rPr>
          <w:rFonts w:hint="eastAsia" w:ascii="宋体" w:hAnsi="宋体" w:eastAsia="宋体" w:cs="宋体"/>
          <w:sz w:val="21"/>
          <w:szCs w:val="18"/>
        </w:rPr>
        <w:t>份，具有同等法律效力，双方各执</w:t>
      </w:r>
      <w:r>
        <w:rPr>
          <w:rFonts w:hint="eastAsia" w:ascii="宋体" w:hAnsi="宋体" w:eastAsia="宋体" w:cs="宋体"/>
          <w:sz w:val="21"/>
          <w:szCs w:val="18"/>
          <w:u w:val="single"/>
        </w:rPr>
        <w:t xml:space="preserve">    </w:t>
      </w:r>
      <w:r>
        <w:rPr>
          <w:rFonts w:hint="eastAsia" w:ascii="宋体" w:hAnsi="宋体" w:eastAsia="宋体" w:cs="宋体"/>
          <w:sz w:val="21"/>
          <w:szCs w:val="18"/>
        </w:rPr>
        <w:t>份，监管部门备案壹份、采购代理机构存档壹份。各方签字盖章后生效，合同执行完毕自动失效。（合同的服务承诺则长期有效）。</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5FEDA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8" w:type="dxa"/>
            <w:tcBorders>
              <w:top w:val="nil"/>
              <w:left w:val="nil"/>
              <w:bottom w:val="nil"/>
              <w:right w:val="nil"/>
            </w:tcBorders>
            <w:noWrap w:val="0"/>
            <w:vAlign w:val="top"/>
          </w:tcPr>
          <w:p w14:paraId="4BB3F787">
            <w:pPr>
              <w:spacing w:line="480" w:lineRule="auto"/>
              <w:jc w:val="both"/>
              <w:rPr>
                <w:rFonts w:hint="eastAsia"/>
                <w:sz w:val="21"/>
                <w:szCs w:val="21"/>
                <w:vertAlign w:val="baseline"/>
                <w:lang w:val="en-US" w:eastAsia="zh-CN"/>
              </w:rPr>
            </w:pPr>
            <w:r>
              <w:rPr>
                <w:rFonts w:hint="eastAsia"/>
                <w:sz w:val="21"/>
                <w:szCs w:val="21"/>
                <w:vertAlign w:val="baseline"/>
                <w:lang w:val="en-US" w:eastAsia="zh-CN"/>
              </w:rPr>
              <w:t xml:space="preserve">采购人：（盖章） </w:t>
            </w:r>
            <w:r>
              <w:rPr>
                <w:rFonts w:hint="eastAsia"/>
                <w:sz w:val="21"/>
                <w:szCs w:val="21"/>
                <w:vertAlign w:val="baseline"/>
                <w:lang w:val="en-US" w:eastAsia="zh-CN"/>
              </w:rPr>
              <w:br w:type="textWrapping"/>
            </w:r>
          </w:p>
        </w:tc>
        <w:tc>
          <w:tcPr>
            <w:tcW w:w="4768" w:type="dxa"/>
            <w:tcBorders>
              <w:top w:val="nil"/>
              <w:left w:val="nil"/>
              <w:bottom w:val="nil"/>
              <w:right w:val="nil"/>
            </w:tcBorders>
            <w:noWrap w:val="0"/>
            <w:vAlign w:val="top"/>
          </w:tcPr>
          <w:p w14:paraId="3467CBBD">
            <w:pPr>
              <w:spacing w:line="480" w:lineRule="auto"/>
              <w:jc w:val="both"/>
              <w:rPr>
                <w:rFonts w:hint="eastAsia"/>
                <w:sz w:val="21"/>
                <w:szCs w:val="21"/>
                <w:vertAlign w:val="baseline"/>
                <w:lang w:val="en-US" w:eastAsia="zh-CN"/>
              </w:rPr>
            </w:pPr>
            <w:r>
              <w:rPr>
                <w:rFonts w:hint="eastAsia"/>
                <w:sz w:val="21"/>
                <w:szCs w:val="21"/>
                <w:vertAlign w:val="baseline"/>
                <w:lang w:val="en-US" w:eastAsia="zh-CN"/>
              </w:rPr>
              <w:t xml:space="preserve">供应商：（盖章） </w:t>
            </w:r>
          </w:p>
        </w:tc>
      </w:tr>
      <w:tr w14:paraId="4F93E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8" w:type="dxa"/>
            <w:tcBorders>
              <w:top w:val="nil"/>
              <w:left w:val="nil"/>
              <w:bottom w:val="nil"/>
              <w:right w:val="nil"/>
            </w:tcBorders>
            <w:noWrap w:val="0"/>
            <w:vAlign w:val="top"/>
          </w:tcPr>
          <w:p w14:paraId="42DC6C9D">
            <w:pPr>
              <w:spacing w:line="480" w:lineRule="auto"/>
              <w:jc w:val="both"/>
              <w:rPr>
                <w:rFonts w:hint="eastAsia"/>
                <w:sz w:val="21"/>
                <w:szCs w:val="21"/>
                <w:lang w:val="en-US" w:eastAsia="zh-CN"/>
              </w:rPr>
            </w:pPr>
            <w:r>
              <w:rPr>
                <w:rFonts w:hint="eastAsia"/>
                <w:sz w:val="21"/>
                <w:szCs w:val="21"/>
                <w:lang w:val="en-US" w:eastAsia="zh-CN"/>
              </w:rPr>
              <w:t>法定代表人（签字或盖章）：</w:t>
            </w:r>
          </w:p>
          <w:p w14:paraId="6DFC603E">
            <w:pPr>
              <w:spacing w:line="480" w:lineRule="auto"/>
              <w:jc w:val="both"/>
              <w:rPr>
                <w:rFonts w:hint="eastAsia"/>
                <w:sz w:val="21"/>
                <w:szCs w:val="21"/>
                <w:vertAlign w:val="baseline"/>
                <w:lang w:val="en-US" w:eastAsia="zh-CN"/>
              </w:rPr>
            </w:pPr>
            <w:r>
              <w:rPr>
                <w:rFonts w:hint="eastAsia"/>
                <w:sz w:val="21"/>
                <w:szCs w:val="21"/>
                <w:lang w:val="en-US" w:eastAsia="zh-CN"/>
              </w:rPr>
              <w:t xml:space="preserve"> </w:t>
            </w:r>
          </w:p>
        </w:tc>
        <w:tc>
          <w:tcPr>
            <w:tcW w:w="4768" w:type="dxa"/>
            <w:tcBorders>
              <w:top w:val="nil"/>
              <w:left w:val="nil"/>
              <w:bottom w:val="nil"/>
              <w:right w:val="nil"/>
            </w:tcBorders>
            <w:noWrap w:val="0"/>
            <w:vAlign w:val="top"/>
          </w:tcPr>
          <w:p w14:paraId="7921FCCD">
            <w:pPr>
              <w:spacing w:line="480" w:lineRule="auto"/>
              <w:jc w:val="both"/>
              <w:rPr>
                <w:rFonts w:hint="eastAsia"/>
                <w:sz w:val="21"/>
                <w:szCs w:val="21"/>
                <w:vertAlign w:val="baseline"/>
                <w:lang w:val="en-US" w:eastAsia="zh-CN"/>
              </w:rPr>
            </w:pPr>
            <w:r>
              <w:rPr>
                <w:rFonts w:hint="eastAsia"/>
                <w:sz w:val="21"/>
                <w:szCs w:val="21"/>
                <w:lang w:val="en-US" w:eastAsia="zh-CN"/>
              </w:rPr>
              <w:t xml:space="preserve">法定代表人（签字或盖章）： </w:t>
            </w:r>
          </w:p>
        </w:tc>
      </w:tr>
      <w:tr w14:paraId="6A565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8" w:type="dxa"/>
            <w:tcBorders>
              <w:top w:val="nil"/>
              <w:left w:val="nil"/>
              <w:bottom w:val="nil"/>
              <w:right w:val="nil"/>
            </w:tcBorders>
            <w:noWrap w:val="0"/>
            <w:vAlign w:val="top"/>
          </w:tcPr>
          <w:p w14:paraId="00F63D73">
            <w:pPr>
              <w:spacing w:line="480" w:lineRule="auto"/>
              <w:jc w:val="both"/>
              <w:rPr>
                <w:rFonts w:hint="eastAsia"/>
                <w:sz w:val="21"/>
                <w:szCs w:val="21"/>
                <w:lang w:val="en-US" w:eastAsia="zh-CN"/>
              </w:rPr>
            </w:pPr>
            <w:r>
              <w:rPr>
                <w:rFonts w:hint="eastAsia"/>
                <w:sz w:val="21"/>
                <w:szCs w:val="21"/>
                <w:lang w:val="en-US" w:eastAsia="zh-CN"/>
              </w:rPr>
              <w:t>授权代理人（签字或盖章）：</w:t>
            </w:r>
          </w:p>
          <w:p w14:paraId="40CA0E25">
            <w:pPr>
              <w:spacing w:line="480" w:lineRule="auto"/>
              <w:jc w:val="both"/>
              <w:rPr>
                <w:rFonts w:hint="eastAsia"/>
                <w:sz w:val="21"/>
                <w:szCs w:val="21"/>
                <w:vertAlign w:val="baseline"/>
                <w:lang w:val="en-US" w:eastAsia="zh-CN"/>
              </w:rPr>
            </w:pPr>
            <w:r>
              <w:rPr>
                <w:rFonts w:hint="eastAsia"/>
                <w:sz w:val="21"/>
                <w:szCs w:val="21"/>
                <w:lang w:val="en-US" w:eastAsia="zh-CN"/>
              </w:rPr>
              <w:t xml:space="preserve">  </w:t>
            </w:r>
          </w:p>
        </w:tc>
        <w:tc>
          <w:tcPr>
            <w:tcW w:w="4768" w:type="dxa"/>
            <w:tcBorders>
              <w:top w:val="nil"/>
              <w:left w:val="nil"/>
              <w:bottom w:val="nil"/>
              <w:right w:val="nil"/>
            </w:tcBorders>
            <w:noWrap w:val="0"/>
            <w:vAlign w:val="top"/>
          </w:tcPr>
          <w:p w14:paraId="69E59163">
            <w:pPr>
              <w:spacing w:line="480" w:lineRule="auto"/>
              <w:jc w:val="both"/>
              <w:rPr>
                <w:rFonts w:hint="eastAsia"/>
                <w:sz w:val="21"/>
                <w:szCs w:val="21"/>
                <w:vertAlign w:val="baseline"/>
                <w:lang w:val="en-US" w:eastAsia="zh-CN"/>
              </w:rPr>
            </w:pPr>
            <w:r>
              <w:rPr>
                <w:rFonts w:hint="eastAsia"/>
                <w:sz w:val="21"/>
                <w:szCs w:val="21"/>
                <w:lang w:val="en-US" w:eastAsia="zh-CN"/>
              </w:rPr>
              <w:t xml:space="preserve">授权代理人（签字或盖章）：  </w:t>
            </w:r>
          </w:p>
        </w:tc>
      </w:tr>
      <w:tr w14:paraId="19D97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8" w:type="dxa"/>
            <w:tcBorders>
              <w:top w:val="nil"/>
              <w:left w:val="nil"/>
              <w:bottom w:val="nil"/>
              <w:right w:val="nil"/>
            </w:tcBorders>
            <w:noWrap w:val="0"/>
            <w:vAlign w:val="top"/>
          </w:tcPr>
          <w:p w14:paraId="0F801AEA">
            <w:pPr>
              <w:spacing w:line="480" w:lineRule="auto"/>
              <w:jc w:val="both"/>
              <w:rPr>
                <w:rFonts w:hint="eastAsia"/>
                <w:sz w:val="21"/>
                <w:szCs w:val="21"/>
                <w:vertAlign w:val="baseline"/>
                <w:lang w:val="en-US" w:eastAsia="zh-CN"/>
              </w:rPr>
            </w:pPr>
            <w:r>
              <w:rPr>
                <w:rFonts w:hint="eastAsia"/>
                <w:sz w:val="21"/>
                <w:szCs w:val="21"/>
                <w:lang w:val="en-US" w:eastAsia="zh-CN"/>
              </w:rPr>
              <w:t>单位地址：</w:t>
            </w:r>
          </w:p>
        </w:tc>
        <w:tc>
          <w:tcPr>
            <w:tcW w:w="4768" w:type="dxa"/>
            <w:tcBorders>
              <w:top w:val="nil"/>
              <w:left w:val="nil"/>
              <w:bottom w:val="nil"/>
              <w:right w:val="nil"/>
            </w:tcBorders>
            <w:noWrap w:val="0"/>
            <w:vAlign w:val="top"/>
          </w:tcPr>
          <w:p w14:paraId="445D0C59">
            <w:pPr>
              <w:spacing w:line="480" w:lineRule="auto"/>
              <w:jc w:val="both"/>
              <w:rPr>
                <w:rFonts w:hint="default"/>
                <w:sz w:val="21"/>
                <w:szCs w:val="21"/>
                <w:vertAlign w:val="baseline"/>
                <w:lang w:val="en-US" w:eastAsia="zh-CN"/>
              </w:rPr>
            </w:pPr>
            <w:r>
              <w:rPr>
                <w:rFonts w:hint="eastAsia"/>
                <w:sz w:val="21"/>
                <w:szCs w:val="21"/>
                <w:lang w:val="en-US" w:eastAsia="zh-CN"/>
              </w:rPr>
              <w:t>单位地址：</w:t>
            </w:r>
          </w:p>
        </w:tc>
      </w:tr>
      <w:tr w14:paraId="480CF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8" w:type="dxa"/>
            <w:tcBorders>
              <w:top w:val="nil"/>
              <w:left w:val="nil"/>
              <w:bottom w:val="nil"/>
              <w:right w:val="nil"/>
            </w:tcBorders>
            <w:noWrap w:val="0"/>
            <w:vAlign w:val="top"/>
          </w:tcPr>
          <w:p w14:paraId="710DA86D">
            <w:pPr>
              <w:spacing w:line="480" w:lineRule="auto"/>
              <w:jc w:val="both"/>
              <w:rPr>
                <w:rFonts w:hint="eastAsia"/>
                <w:sz w:val="21"/>
                <w:szCs w:val="21"/>
                <w:lang w:val="en-US" w:eastAsia="zh-CN"/>
              </w:rPr>
            </w:pPr>
          </w:p>
        </w:tc>
        <w:tc>
          <w:tcPr>
            <w:tcW w:w="4768" w:type="dxa"/>
            <w:tcBorders>
              <w:top w:val="nil"/>
              <w:left w:val="nil"/>
              <w:bottom w:val="nil"/>
              <w:right w:val="nil"/>
            </w:tcBorders>
            <w:noWrap w:val="0"/>
            <w:vAlign w:val="top"/>
          </w:tcPr>
          <w:p w14:paraId="54D6DB29">
            <w:pPr>
              <w:spacing w:line="480" w:lineRule="auto"/>
              <w:jc w:val="both"/>
              <w:rPr>
                <w:rFonts w:hint="eastAsia"/>
                <w:sz w:val="21"/>
                <w:szCs w:val="21"/>
                <w:lang w:val="en-US" w:eastAsia="zh-CN"/>
              </w:rPr>
            </w:pPr>
            <w:r>
              <w:rPr>
                <w:rFonts w:hint="eastAsia" w:ascii="宋体" w:hAnsi="宋体" w:eastAsia="宋体" w:cs="宋体"/>
                <w:sz w:val="21"/>
                <w:szCs w:val="21"/>
                <w:u w:val="none"/>
                <w:lang w:val="en-US" w:eastAsia="zh-CN"/>
              </w:rPr>
              <w:t>纳</w:t>
            </w:r>
            <w:r>
              <w:rPr>
                <w:rFonts w:hint="eastAsia" w:ascii="宋体" w:hAnsi="宋体" w:cs="宋体"/>
                <w:sz w:val="21"/>
                <w:szCs w:val="21"/>
                <w:u w:val="none"/>
                <w:lang w:val="en-US" w:eastAsia="zh-CN"/>
              </w:rPr>
              <w:t>税</w:t>
            </w:r>
            <w:r>
              <w:rPr>
                <w:rFonts w:hint="eastAsia" w:ascii="宋体" w:hAnsi="宋体" w:eastAsia="宋体" w:cs="宋体"/>
                <w:sz w:val="21"/>
                <w:szCs w:val="21"/>
                <w:u w:val="none"/>
                <w:lang w:val="en-US" w:eastAsia="zh-CN"/>
              </w:rPr>
              <w:t>人识别号</w:t>
            </w:r>
            <w:r>
              <w:rPr>
                <w:rFonts w:hint="eastAsia"/>
                <w:sz w:val="21"/>
                <w:szCs w:val="21"/>
                <w:lang w:val="en-US" w:eastAsia="zh-CN"/>
              </w:rPr>
              <w:t>：</w:t>
            </w:r>
          </w:p>
        </w:tc>
      </w:tr>
      <w:tr w14:paraId="5D9D6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8" w:type="dxa"/>
            <w:tcBorders>
              <w:top w:val="nil"/>
              <w:left w:val="nil"/>
              <w:bottom w:val="nil"/>
              <w:right w:val="nil"/>
            </w:tcBorders>
            <w:noWrap w:val="0"/>
            <w:vAlign w:val="top"/>
          </w:tcPr>
          <w:p w14:paraId="76818E05">
            <w:pPr>
              <w:spacing w:line="480" w:lineRule="auto"/>
              <w:jc w:val="both"/>
              <w:rPr>
                <w:rFonts w:hint="eastAsia"/>
                <w:sz w:val="21"/>
                <w:szCs w:val="21"/>
                <w:vertAlign w:val="baseline"/>
                <w:lang w:val="en-US" w:eastAsia="zh-CN"/>
              </w:rPr>
            </w:pPr>
            <w:r>
              <w:rPr>
                <w:rFonts w:hint="eastAsia"/>
                <w:sz w:val="21"/>
                <w:szCs w:val="21"/>
                <w:lang w:val="en-US" w:eastAsia="zh-CN"/>
              </w:rPr>
              <w:t>开户银行：</w:t>
            </w:r>
          </w:p>
        </w:tc>
        <w:tc>
          <w:tcPr>
            <w:tcW w:w="4768" w:type="dxa"/>
            <w:tcBorders>
              <w:top w:val="nil"/>
              <w:left w:val="nil"/>
              <w:bottom w:val="nil"/>
              <w:right w:val="nil"/>
            </w:tcBorders>
            <w:noWrap w:val="0"/>
            <w:vAlign w:val="top"/>
          </w:tcPr>
          <w:p w14:paraId="11D14FE3">
            <w:pPr>
              <w:spacing w:line="480" w:lineRule="auto"/>
              <w:jc w:val="both"/>
              <w:rPr>
                <w:rFonts w:hint="eastAsia"/>
                <w:sz w:val="21"/>
                <w:szCs w:val="21"/>
                <w:vertAlign w:val="baseline"/>
                <w:lang w:val="en-US" w:eastAsia="zh-CN"/>
              </w:rPr>
            </w:pPr>
            <w:r>
              <w:rPr>
                <w:rFonts w:hint="eastAsia"/>
                <w:sz w:val="21"/>
                <w:szCs w:val="21"/>
                <w:lang w:val="en-US" w:eastAsia="zh-CN"/>
              </w:rPr>
              <w:t>开户银行：</w:t>
            </w:r>
          </w:p>
        </w:tc>
      </w:tr>
      <w:tr w14:paraId="4CDC0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8" w:type="dxa"/>
            <w:tcBorders>
              <w:top w:val="nil"/>
              <w:left w:val="nil"/>
              <w:bottom w:val="nil"/>
              <w:right w:val="nil"/>
            </w:tcBorders>
            <w:noWrap w:val="0"/>
            <w:vAlign w:val="top"/>
          </w:tcPr>
          <w:p w14:paraId="760FDB99">
            <w:pPr>
              <w:spacing w:line="480" w:lineRule="auto"/>
              <w:jc w:val="both"/>
              <w:rPr>
                <w:rFonts w:hint="eastAsia"/>
                <w:sz w:val="21"/>
                <w:szCs w:val="21"/>
                <w:vertAlign w:val="baseline"/>
                <w:lang w:val="en-US" w:eastAsia="zh-CN"/>
              </w:rPr>
            </w:pPr>
            <w:r>
              <w:rPr>
                <w:rFonts w:hint="eastAsia"/>
                <w:sz w:val="21"/>
                <w:szCs w:val="21"/>
                <w:lang w:val="en-US" w:eastAsia="zh-CN"/>
              </w:rPr>
              <w:t xml:space="preserve">账    号： </w:t>
            </w:r>
          </w:p>
        </w:tc>
        <w:tc>
          <w:tcPr>
            <w:tcW w:w="4768" w:type="dxa"/>
            <w:tcBorders>
              <w:top w:val="nil"/>
              <w:left w:val="nil"/>
              <w:bottom w:val="nil"/>
              <w:right w:val="nil"/>
            </w:tcBorders>
            <w:noWrap w:val="0"/>
            <w:vAlign w:val="top"/>
          </w:tcPr>
          <w:p w14:paraId="0D581C4B">
            <w:pPr>
              <w:spacing w:line="480" w:lineRule="auto"/>
              <w:jc w:val="both"/>
              <w:rPr>
                <w:rFonts w:hint="eastAsia"/>
                <w:sz w:val="21"/>
                <w:szCs w:val="21"/>
                <w:vertAlign w:val="baseline"/>
                <w:lang w:val="en-US" w:eastAsia="zh-CN"/>
              </w:rPr>
            </w:pPr>
            <w:r>
              <w:rPr>
                <w:rFonts w:hint="eastAsia"/>
                <w:sz w:val="21"/>
                <w:szCs w:val="21"/>
                <w:lang w:val="en-US" w:eastAsia="zh-CN"/>
              </w:rPr>
              <w:t>账    号：</w:t>
            </w:r>
          </w:p>
        </w:tc>
      </w:tr>
      <w:tr w14:paraId="34626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8" w:type="dxa"/>
            <w:tcBorders>
              <w:top w:val="nil"/>
              <w:left w:val="nil"/>
              <w:bottom w:val="nil"/>
              <w:right w:val="nil"/>
            </w:tcBorders>
            <w:noWrap w:val="0"/>
            <w:vAlign w:val="top"/>
          </w:tcPr>
          <w:p w14:paraId="3896DAF4">
            <w:pPr>
              <w:spacing w:line="480" w:lineRule="auto"/>
              <w:jc w:val="both"/>
              <w:rPr>
                <w:rFonts w:hint="eastAsia"/>
                <w:sz w:val="21"/>
                <w:szCs w:val="21"/>
                <w:vertAlign w:val="baseline"/>
                <w:lang w:val="en-US" w:eastAsia="zh-CN"/>
              </w:rPr>
            </w:pPr>
            <w:r>
              <w:rPr>
                <w:rFonts w:hint="eastAsia"/>
                <w:sz w:val="21"/>
                <w:szCs w:val="21"/>
                <w:lang w:val="en-US" w:eastAsia="zh-CN"/>
              </w:rPr>
              <w:t>邮政编码：</w:t>
            </w:r>
          </w:p>
        </w:tc>
        <w:tc>
          <w:tcPr>
            <w:tcW w:w="4768" w:type="dxa"/>
            <w:tcBorders>
              <w:top w:val="nil"/>
              <w:left w:val="nil"/>
              <w:bottom w:val="nil"/>
              <w:right w:val="nil"/>
            </w:tcBorders>
            <w:noWrap w:val="0"/>
            <w:vAlign w:val="top"/>
          </w:tcPr>
          <w:p w14:paraId="03D22458">
            <w:pPr>
              <w:spacing w:line="480" w:lineRule="auto"/>
              <w:jc w:val="both"/>
              <w:rPr>
                <w:rFonts w:hint="eastAsia"/>
                <w:sz w:val="21"/>
                <w:szCs w:val="21"/>
                <w:vertAlign w:val="baseline"/>
                <w:lang w:val="en-US" w:eastAsia="zh-CN"/>
              </w:rPr>
            </w:pPr>
            <w:r>
              <w:rPr>
                <w:rFonts w:hint="eastAsia"/>
                <w:sz w:val="21"/>
                <w:szCs w:val="21"/>
                <w:lang w:val="en-US" w:eastAsia="zh-CN"/>
              </w:rPr>
              <w:t>邮政编码：</w:t>
            </w:r>
          </w:p>
        </w:tc>
      </w:tr>
      <w:tr w14:paraId="67BB8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8" w:type="dxa"/>
            <w:tcBorders>
              <w:top w:val="nil"/>
              <w:left w:val="nil"/>
              <w:bottom w:val="nil"/>
              <w:right w:val="nil"/>
            </w:tcBorders>
            <w:noWrap w:val="0"/>
            <w:vAlign w:val="top"/>
          </w:tcPr>
          <w:p w14:paraId="33504A78">
            <w:pPr>
              <w:spacing w:line="480" w:lineRule="auto"/>
              <w:jc w:val="both"/>
              <w:rPr>
                <w:rFonts w:hint="eastAsia"/>
                <w:sz w:val="21"/>
                <w:szCs w:val="21"/>
                <w:vertAlign w:val="baseline"/>
                <w:lang w:val="en-US" w:eastAsia="zh-CN"/>
              </w:rPr>
            </w:pPr>
            <w:r>
              <w:rPr>
                <w:rFonts w:hint="eastAsia"/>
                <w:sz w:val="21"/>
                <w:szCs w:val="21"/>
                <w:lang w:val="en-US" w:eastAsia="zh-CN"/>
              </w:rPr>
              <w:t>电    话：</w:t>
            </w:r>
          </w:p>
        </w:tc>
        <w:tc>
          <w:tcPr>
            <w:tcW w:w="4768" w:type="dxa"/>
            <w:tcBorders>
              <w:top w:val="nil"/>
              <w:left w:val="nil"/>
              <w:bottom w:val="nil"/>
              <w:right w:val="nil"/>
            </w:tcBorders>
            <w:noWrap w:val="0"/>
            <w:vAlign w:val="top"/>
          </w:tcPr>
          <w:p w14:paraId="092CCDFD">
            <w:pPr>
              <w:spacing w:line="480" w:lineRule="auto"/>
              <w:jc w:val="both"/>
              <w:rPr>
                <w:rFonts w:hint="default"/>
                <w:sz w:val="21"/>
                <w:szCs w:val="21"/>
                <w:vertAlign w:val="baseline"/>
                <w:lang w:val="en-US" w:eastAsia="zh-CN"/>
              </w:rPr>
            </w:pPr>
            <w:r>
              <w:rPr>
                <w:rFonts w:hint="eastAsia"/>
                <w:sz w:val="21"/>
                <w:szCs w:val="21"/>
                <w:lang w:val="en-US" w:eastAsia="zh-CN"/>
              </w:rPr>
              <w:t>电    话：</w:t>
            </w:r>
          </w:p>
        </w:tc>
      </w:tr>
      <w:tr w14:paraId="436FF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68" w:type="dxa"/>
            <w:tcBorders>
              <w:top w:val="nil"/>
              <w:left w:val="nil"/>
              <w:bottom w:val="nil"/>
              <w:right w:val="nil"/>
            </w:tcBorders>
            <w:noWrap w:val="0"/>
            <w:vAlign w:val="top"/>
          </w:tcPr>
          <w:p w14:paraId="420F49FE">
            <w:pPr>
              <w:spacing w:line="480" w:lineRule="auto"/>
              <w:jc w:val="both"/>
              <w:rPr>
                <w:rFonts w:hint="eastAsia"/>
                <w:sz w:val="21"/>
                <w:szCs w:val="21"/>
                <w:lang w:val="en-US" w:eastAsia="zh-CN"/>
              </w:rPr>
            </w:pPr>
            <w:r>
              <w:rPr>
                <w:rFonts w:hint="eastAsia"/>
                <w:sz w:val="21"/>
                <w:szCs w:val="21"/>
                <w:lang w:val="en-US" w:eastAsia="zh-CN"/>
              </w:rPr>
              <w:t>传    真：</w:t>
            </w:r>
          </w:p>
        </w:tc>
        <w:tc>
          <w:tcPr>
            <w:tcW w:w="4768" w:type="dxa"/>
            <w:tcBorders>
              <w:top w:val="nil"/>
              <w:left w:val="nil"/>
              <w:bottom w:val="nil"/>
              <w:right w:val="nil"/>
            </w:tcBorders>
            <w:noWrap w:val="0"/>
            <w:vAlign w:val="top"/>
          </w:tcPr>
          <w:p w14:paraId="21E9C592">
            <w:pPr>
              <w:spacing w:line="480" w:lineRule="auto"/>
              <w:jc w:val="both"/>
              <w:rPr>
                <w:rFonts w:hint="eastAsia"/>
                <w:sz w:val="21"/>
                <w:szCs w:val="21"/>
                <w:vertAlign w:val="baseline"/>
                <w:lang w:val="en-US" w:eastAsia="zh-CN"/>
              </w:rPr>
            </w:pPr>
            <w:r>
              <w:rPr>
                <w:rFonts w:hint="eastAsia"/>
                <w:sz w:val="21"/>
                <w:szCs w:val="21"/>
                <w:lang w:val="en-US" w:eastAsia="zh-CN"/>
              </w:rPr>
              <w:t>传    真：</w:t>
            </w:r>
          </w:p>
        </w:tc>
      </w:tr>
      <w:tr w14:paraId="277EB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8" w:type="dxa"/>
            <w:tcBorders>
              <w:top w:val="nil"/>
              <w:left w:val="nil"/>
              <w:bottom w:val="nil"/>
              <w:right w:val="nil"/>
            </w:tcBorders>
            <w:noWrap w:val="0"/>
            <w:vAlign w:val="top"/>
          </w:tcPr>
          <w:p w14:paraId="791837FB">
            <w:pPr>
              <w:spacing w:line="480" w:lineRule="auto"/>
              <w:jc w:val="both"/>
              <w:rPr>
                <w:rFonts w:hint="eastAsia"/>
                <w:sz w:val="21"/>
                <w:szCs w:val="21"/>
                <w:lang w:val="en-US" w:eastAsia="zh-CN"/>
              </w:rPr>
            </w:pPr>
            <w:r>
              <w:rPr>
                <w:rFonts w:hint="eastAsia"/>
                <w:sz w:val="21"/>
                <w:szCs w:val="21"/>
                <w:lang w:val="en-US" w:eastAsia="zh-CN"/>
              </w:rPr>
              <w:t xml:space="preserve">电子信箱：  </w:t>
            </w:r>
          </w:p>
        </w:tc>
        <w:tc>
          <w:tcPr>
            <w:tcW w:w="4768" w:type="dxa"/>
            <w:tcBorders>
              <w:top w:val="nil"/>
              <w:left w:val="nil"/>
              <w:bottom w:val="nil"/>
              <w:right w:val="nil"/>
            </w:tcBorders>
            <w:noWrap w:val="0"/>
            <w:vAlign w:val="top"/>
          </w:tcPr>
          <w:p w14:paraId="11ADAD43">
            <w:pPr>
              <w:spacing w:line="480" w:lineRule="auto"/>
              <w:jc w:val="both"/>
              <w:rPr>
                <w:rFonts w:hint="eastAsia"/>
                <w:sz w:val="21"/>
                <w:szCs w:val="21"/>
                <w:vertAlign w:val="baseline"/>
                <w:lang w:val="en-US" w:eastAsia="zh-CN"/>
              </w:rPr>
            </w:pPr>
            <w:r>
              <w:rPr>
                <w:rFonts w:hint="eastAsia"/>
                <w:sz w:val="21"/>
                <w:szCs w:val="21"/>
                <w:lang w:val="en-US" w:eastAsia="zh-CN"/>
              </w:rPr>
              <w:t>电子信箱：</w:t>
            </w:r>
          </w:p>
        </w:tc>
      </w:tr>
      <w:tr w14:paraId="3E985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8" w:type="dxa"/>
            <w:tcBorders>
              <w:top w:val="nil"/>
              <w:left w:val="nil"/>
              <w:bottom w:val="nil"/>
              <w:right w:val="nil"/>
            </w:tcBorders>
            <w:noWrap w:val="0"/>
            <w:vAlign w:val="top"/>
          </w:tcPr>
          <w:p w14:paraId="75434072">
            <w:pPr>
              <w:spacing w:line="480" w:lineRule="auto"/>
              <w:ind w:firstLine="420" w:firstLineChars="200"/>
              <w:jc w:val="both"/>
              <w:rPr>
                <w:rFonts w:hint="eastAsia"/>
                <w:sz w:val="21"/>
                <w:szCs w:val="21"/>
                <w:lang w:val="en-US" w:eastAsia="zh-CN"/>
              </w:rPr>
            </w:pPr>
            <w:r>
              <w:rPr>
                <w:rFonts w:hint="eastAsia"/>
                <w:sz w:val="21"/>
                <w:szCs w:val="21"/>
                <w:lang w:val="en-US" w:eastAsia="zh-CN"/>
              </w:rPr>
              <w:t>年   月   日</w:t>
            </w:r>
          </w:p>
        </w:tc>
        <w:tc>
          <w:tcPr>
            <w:tcW w:w="4768" w:type="dxa"/>
            <w:tcBorders>
              <w:top w:val="nil"/>
              <w:left w:val="nil"/>
              <w:bottom w:val="nil"/>
              <w:right w:val="nil"/>
            </w:tcBorders>
            <w:noWrap w:val="0"/>
            <w:vAlign w:val="top"/>
          </w:tcPr>
          <w:p w14:paraId="6EA0BCCC">
            <w:pPr>
              <w:spacing w:line="480" w:lineRule="auto"/>
              <w:ind w:firstLine="420" w:firstLineChars="200"/>
              <w:jc w:val="both"/>
              <w:rPr>
                <w:rFonts w:hint="eastAsia"/>
                <w:sz w:val="21"/>
                <w:szCs w:val="21"/>
                <w:vertAlign w:val="baseline"/>
                <w:lang w:val="en-US" w:eastAsia="zh-CN"/>
              </w:rPr>
            </w:pPr>
            <w:r>
              <w:rPr>
                <w:rFonts w:hint="eastAsia"/>
                <w:sz w:val="21"/>
                <w:szCs w:val="21"/>
                <w:lang w:val="en-US" w:eastAsia="zh-CN"/>
              </w:rPr>
              <w:t>年   月   日</w:t>
            </w:r>
          </w:p>
        </w:tc>
      </w:tr>
    </w:tbl>
    <w:p w14:paraId="3E7068D1">
      <w:r>
        <w:rPr>
          <w:rFonts w:hint="eastAsia" w:ascii="宋体" w:hAnsi="宋体" w:eastAsia="宋体" w:cs="宋体"/>
          <w:b/>
          <w:bCs/>
          <w:color w:val="auto"/>
          <w:kern w:val="44"/>
          <w:sz w:val="32"/>
          <w:szCs w:val="32"/>
          <w:highlight w:val="none"/>
          <w:lang w:val="en-US" w:eastAsia="zh-CN"/>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3B4A0A"/>
    <w:rsid w:val="17FD6785"/>
    <w:rsid w:val="1EBE36CE"/>
    <w:rsid w:val="21492FDB"/>
    <w:rsid w:val="224B0307"/>
    <w:rsid w:val="226E2973"/>
    <w:rsid w:val="24F37160"/>
    <w:rsid w:val="255866F6"/>
    <w:rsid w:val="29CA4207"/>
    <w:rsid w:val="2D6329A9"/>
    <w:rsid w:val="2D786883"/>
    <w:rsid w:val="469056EB"/>
    <w:rsid w:val="49415E3C"/>
    <w:rsid w:val="4AD4683C"/>
    <w:rsid w:val="4D84279B"/>
    <w:rsid w:val="511C5213"/>
    <w:rsid w:val="519805C3"/>
    <w:rsid w:val="54AB4AB2"/>
    <w:rsid w:val="575C02E5"/>
    <w:rsid w:val="5AD44AB6"/>
    <w:rsid w:val="5C180C7F"/>
    <w:rsid w:val="600A2FD4"/>
    <w:rsid w:val="619743F4"/>
    <w:rsid w:val="66D57E15"/>
    <w:rsid w:val="69ED01C6"/>
    <w:rsid w:val="6EDD74D4"/>
    <w:rsid w:val="72AA7CFF"/>
    <w:rsid w:val="76CC0B8C"/>
    <w:rsid w:val="77E80343"/>
    <w:rsid w:val="7DA0067C"/>
    <w:rsid w:val="7DED3CF9"/>
    <w:rsid w:val="7F282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left"/>
    </w:pPr>
    <w:rPr>
      <w:rFonts w:ascii="Times New Roman" w:hAnsi="Times New Roman" w:eastAsia="宋体" w:cs="Times New Roman"/>
      <w:kern w:val="2"/>
      <w:sz w:val="24"/>
      <w:szCs w:val="22"/>
      <w:lang w:val="en-US" w:eastAsia="zh-CN" w:bidi="ar-SA"/>
    </w:rPr>
  </w:style>
  <w:style w:type="paragraph" w:styleId="3">
    <w:name w:val="heading 2"/>
    <w:basedOn w:val="1"/>
    <w:next w:val="1"/>
    <w:qFormat/>
    <w:uiPriority w:val="0"/>
    <w:pPr>
      <w:keepNext/>
      <w:keepLines/>
      <w:spacing w:before="260" w:beforeLines="0" w:after="260" w:afterLines="0" w:line="360" w:lineRule="auto"/>
      <w:jc w:val="left"/>
      <w:outlineLvl w:val="1"/>
    </w:pPr>
    <w:rPr>
      <w:rFonts w:ascii="Arial" w:hAnsi="Arial" w:eastAsia="黑体" w:cs="Arial"/>
      <w:b/>
      <w:bCs/>
      <w:sz w:val="32"/>
      <w:szCs w:val="32"/>
    </w:rPr>
  </w:style>
  <w:style w:type="paragraph" w:styleId="2">
    <w:name w:val="heading 4"/>
    <w:basedOn w:val="1"/>
    <w:next w:val="1"/>
    <w:qFormat/>
    <w:uiPriority w:val="99"/>
    <w:pPr>
      <w:keepNext/>
      <w:keepLines/>
      <w:spacing w:before="280" w:after="290" w:line="376" w:lineRule="auto"/>
      <w:outlineLvl w:val="3"/>
    </w:pPr>
    <w:rPr>
      <w:rFonts w:ascii="Cambria" w:hAnsi="Cambria" w:eastAsia="仿宋" w:cs="Cambria"/>
      <w:b/>
      <w:bCs/>
      <w:sz w:val="32"/>
      <w:szCs w:val="32"/>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99"/>
    <w:pPr>
      <w:ind w:firstLine="420" w:firstLineChars="200"/>
    </w:pPr>
  </w:style>
  <w:style w:type="paragraph" w:styleId="5">
    <w:name w:val="toc 4"/>
    <w:basedOn w:val="1"/>
    <w:next w:val="1"/>
    <w:qFormat/>
    <w:uiPriority w:val="0"/>
    <w:pPr>
      <w:ind w:left="630"/>
      <w:jc w:val="left"/>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2025-05-23T08:45:32Z</dcterms:created>
  <dc:creator>Administrator</dc:creator>
  <cp:lastModifiedBy>小慧</cp:lastModifiedBy>
  <dcterms:modified xsi:type="dcterms:W3CDTF">2025-05-23T09:24:59Z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eyJoZGlkIjoiNzkxNjMyOGIwOWJmYjM5N2ZhNGFkNDk0MjhiMjFjZDciLCJ1c2VySWQiOiIyNTE3MDUwNjMifQ==</vt:lpwstr>
  </property>
  <property fmtid="{D5CDD505-2E9C-101B-9397-08002B2CF9AE}" pid="4" name="ICV">
    <vt:lpwstr>DC01015A355643DFB64FA7F9D1E2E2F9_12</vt:lpwstr>
  </property>
</Properties>
</file>