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版本号：YZZB-2504520250523001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政务服务标准化规范化便利化项目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YZZB-25045</w:t>
      </w:r>
      <w:r>
        <w:br/>
      </w:r>
      <w:r>
        <w:br/>
      </w:r>
      <w:r>
        <w:br/>
      </w:r>
    </w:p>
    <w:p>
      <w:pPr>
        <w:pStyle w:val="null3"/>
        <w:jc w:val="center"/>
        <w:outlineLvl w:val="2"/>
      </w:pPr>
      <w:r>
        <w:rPr>
          <w:rFonts w:ascii="仿宋_GB2312" w:hAnsi="仿宋_GB2312" w:cs="仿宋_GB2312" w:eastAsia="仿宋_GB2312"/>
          <w:sz w:val="28"/>
          <w:b/>
        </w:rPr>
        <w:t>西安市周至县数据和行政审批服务局（本级）</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西安市周至县数据和行政审批服务局（本级）</w:t>
      </w:r>
      <w:r>
        <w:rPr>
          <w:rFonts w:ascii="仿宋_GB2312" w:hAnsi="仿宋_GB2312" w:cs="仿宋_GB2312" w:eastAsia="仿宋_GB2312"/>
        </w:rPr>
        <w:t>委托，拟对</w:t>
      </w:r>
      <w:r>
        <w:rPr>
          <w:rFonts w:ascii="仿宋_GB2312" w:hAnsi="仿宋_GB2312" w:cs="仿宋_GB2312" w:eastAsia="仿宋_GB2312"/>
        </w:rPr>
        <w:t>政务服务标准化规范化便利化项目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YZZB-25045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政务服务标准化规范化便利化项目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委、县政府高度重视营商环境建设，响应国家政务服务改革政策顶层要求，按照《周至县“政务服务”指标营商环境突破提升方案》《周至县“数字营商”指标突破提升方案》文件精神，围绕政务服务标准体系搭建、政务服务大厅优化、高频政务服务事项梳理、政务服务督查体验系统开发等核心任务，通过构建标准化服务体系、优化政务服务大厅、开发效能监测平台等举措，全面提升政务服务规范化、便利化水平，助力打造具有区域影响力的政务服务品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采购包1（政务服务标准化规范化便利化项目）：属于专门面向中小企业采购。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w:t>
      </w:r>
    </w:p>
    <w:p>
      <w:pPr>
        <w:pStyle w:val="null3"/>
      </w:pPr>
      <w:r>
        <w:rPr>
          <w:rFonts w:ascii="仿宋_GB2312" w:hAnsi="仿宋_GB2312" w:cs="仿宋_GB2312" w:eastAsia="仿宋_GB2312"/>
        </w:rPr>
        <w:t>8、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西安市周至县数据和行政审批服务局（本级）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西安市周至县万联锦绣商业广场内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029-87114101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陕西省西安市曲江新区雁展路1111号莱安中心T7栋1005室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董青青/王恩全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029-88867482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号、发改办价格［2003］857号规定，依据发改价格[2015]299号文件规定标准计取该项目的招标代理服务费，经双方协商，由成交单位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西安市周至县数据和行政审批服务局（本级）</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西安市周至县数据和行政审批服务局（本级）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西安市周至县数据和行政审批服务局（本级）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联系人：董青青/王恩全</w:t>
      </w:r>
    </w:p>
    <w:p>
      <w:pPr>
        <w:pStyle w:val="null3"/>
      </w:pPr>
      <w:r>
        <w:rPr>
          <w:rFonts w:ascii="仿宋_GB2312" w:hAnsi="仿宋_GB2312" w:cs="仿宋_GB2312" w:eastAsia="仿宋_GB2312"/>
        </w:rPr>
        <w:t>联系电话：029-88867482</w:t>
      </w:r>
    </w:p>
    <w:p>
      <w:pPr>
        <w:pStyle w:val="null3"/>
      </w:pPr>
      <w:r>
        <w:rPr>
          <w:rFonts w:ascii="仿宋_GB2312" w:hAnsi="仿宋_GB2312" w:cs="仿宋_GB2312" w:eastAsia="仿宋_GB2312"/>
        </w:rPr>
        <w:t>地址：陕西省西安市曲江新区雁展路1111号莱安中心T7栋1005室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委、县政府高度重视营商环境建设，响应国家政务服务改革政策顶层要求，按照《周至县“政务服务”指标营商环境突破提升方案》《周至县“数字营商”指标突破提升方案》文件精神，围绕政务服务标准体系搭建、政务服务大厅优化、高频政务服务事项梳理、政务服务督查体验系统开发等核心任务，通过构建标准化服务体系、优化政务服务大厅、开发效能监测平台等举措，全面提升政务服务规范化、便利化水平，助力打造具有区域影响力的政务服务品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446,800.00</w:t>
      </w:r>
    </w:p>
    <w:p>
      <w:pPr>
        <w:pStyle w:val="null3"/>
      </w:pPr>
      <w:r>
        <w:rPr>
          <w:rFonts w:ascii="仿宋_GB2312" w:hAnsi="仿宋_GB2312" w:cs="仿宋_GB2312" w:eastAsia="仿宋_GB2312"/>
        </w:rPr>
        <w:t>采购包最高限价（元）: 446,800.00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政务服务标准化规范化便利化项目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标的名称：政务服务标准化规范化便利化项目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20"/>
              <w:jc w:val="left"/>
            </w:pPr>
            <w:r>
              <w:rPr>
                <w:rFonts w:ascii="仿宋_GB2312" w:hAnsi="仿宋_GB2312" w:cs="仿宋_GB2312" w:eastAsia="仿宋_GB2312"/>
                <w:sz w:val="21"/>
              </w:rPr>
              <w:t>周至县委、县政府高度重视营商环境建设，响应国家政务服务改革政策顶层要求，</w:t>
            </w:r>
            <w:r>
              <w:rPr>
                <w:rFonts w:ascii="仿宋_GB2312" w:hAnsi="仿宋_GB2312" w:cs="仿宋_GB2312" w:eastAsia="仿宋_GB2312"/>
                <w:sz w:val="21"/>
              </w:rPr>
              <w:t>按照</w:t>
            </w:r>
            <w:r>
              <w:rPr>
                <w:rFonts w:ascii="仿宋_GB2312" w:hAnsi="仿宋_GB2312" w:cs="仿宋_GB2312" w:eastAsia="仿宋_GB2312"/>
                <w:sz w:val="21"/>
              </w:rPr>
              <w:t>《周至县</w:t>
            </w:r>
            <w:r>
              <w:rPr>
                <w:rFonts w:ascii="仿宋_GB2312" w:hAnsi="仿宋_GB2312" w:cs="仿宋_GB2312" w:eastAsia="仿宋_GB2312"/>
                <w:sz w:val="21"/>
              </w:rPr>
              <w:t>“政务服务”指标营商环境突破提升方案》《周至县“数字营商”指标突破提升方案》</w:t>
            </w:r>
            <w:r>
              <w:rPr>
                <w:rFonts w:ascii="仿宋_GB2312" w:hAnsi="仿宋_GB2312" w:cs="仿宋_GB2312" w:eastAsia="仿宋_GB2312"/>
                <w:sz w:val="21"/>
              </w:rPr>
              <w:t>文件精神</w:t>
            </w:r>
            <w:r>
              <w:rPr>
                <w:rFonts w:ascii="仿宋_GB2312" w:hAnsi="仿宋_GB2312" w:cs="仿宋_GB2312" w:eastAsia="仿宋_GB2312"/>
                <w:sz w:val="21"/>
              </w:rPr>
              <w:t>，围绕政务服务标准体系搭建、政务服务大厅优化、高频政务服务事项梳理、政务服务督查体验系统开发等核心任务，通过构建标准化服务体系、优化政务服务大厅、开发效能监测平台等举措，全面提升政务服务规范化、便利化水平，助力打造具有区域影响力的政务服务品牌。</w:t>
            </w:r>
          </w:p>
          <w:p>
            <w:pPr>
              <w:pStyle w:val="null3"/>
              <w:jc w:val="left"/>
            </w:pPr>
            <w:r>
              <w:rPr>
                <w:rFonts w:ascii="仿宋_GB2312" w:hAnsi="仿宋_GB2312" w:cs="仿宋_GB2312" w:eastAsia="仿宋_GB2312"/>
                <w:sz w:val="24"/>
                <w:b/>
              </w:rPr>
              <w:t>二、技术标准与规范要求</w:t>
            </w:r>
          </w:p>
          <w:p>
            <w:pPr>
              <w:pStyle w:val="null3"/>
              <w:ind w:firstLine="210"/>
              <w:jc w:val="left"/>
            </w:pPr>
            <w:r>
              <w:rPr>
                <w:rFonts w:ascii="仿宋_GB2312" w:hAnsi="仿宋_GB2312" w:cs="仿宋_GB2312" w:eastAsia="仿宋_GB2312"/>
                <w:sz w:val="21"/>
              </w:rPr>
              <w:t>（一）遵循的标准与规范</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严格依据《</w:t>
            </w:r>
            <w:r>
              <w:rPr>
                <w:rFonts w:ascii="仿宋_GB2312" w:hAnsi="仿宋_GB2312" w:cs="仿宋_GB2312" w:eastAsia="仿宋_GB2312"/>
                <w:sz w:val="21"/>
              </w:rPr>
              <w:t>GB/T15624—2011 服务标准化工作指南》《GB/T24421—2009 服务业组织标准化工作指南》《GB/T 32170—2015 政务服务中心标准化工作指南》等国家标准开展工作。</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遵循国家法律法规、相关政策规定以及地方或部门制定的规章制度，确保项目依法依规实施。</w:t>
            </w:r>
          </w:p>
          <w:p>
            <w:pPr>
              <w:pStyle w:val="null3"/>
              <w:ind w:firstLine="210"/>
              <w:jc w:val="left"/>
            </w:pPr>
            <w:r>
              <w:rPr>
                <w:rFonts w:ascii="仿宋_GB2312" w:hAnsi="仿宋_GB2312" w:cs="仿宋_GB2312" w:eastAsia="仿宋_GB2312"/>
                <w:sz w:val="21"/>
              </w:rPr>
              <w:t>（二）技术原则</w:t>
            </w:r>
          </w:p>
          <w:p>
            <w:pPr>
              <w:pStyle w:val="null3"/>
              <w:jc w:val="left"/>
            </w:pPr>
            <w:r>
              <w:rPr>
                <w:rFonts w:ascii="仿宋_GB2312" w:hAnsi="仿宋_GB2312" w:cs="仿宋_GB2312" w:eastAsia="仿宋_GB2312"/>
                <w:sz w:val="21"/>
              </w:rPr>
              <w:t xml:space="preserve">  1.</w:t>
            </w:r>
            <w:r>
              <w:rPr>
                <w:rFonts w:ascii="仿宋_GB2312" w:hAnsi="仿宋_GB2312" w:cs="仿宋_GB2312" w:eastAsia="仿宋_GB2312"/>
                <w:sz w:val="21"/>
              </w:rPr>
              <w:t>依法依规原则：所有技术方案和实施过程必须符合法律法规和规章制度。</w:t>
            </w:r>
          </w:p>
          <w:p>
            <w:pPr>
              <w:pStyle w:val="null3"/>
              <w:jc w:val="left"/>
            </w:pPr>
            <w:r>
              <w:rPr>
                <w:rFonts w:ascii="仿宋_GB2312" w:hAnsi="仿宋_GB2312" w:cs="仿宋_GB2312" w:eastAsia="仿宋_GB2312"/>
                <w:sz w:val="21"/>
              </w:rPr>
              <w:t xml:space="preserve">  2.</w:t>
            </w:r>
            <w:r>
              <w:rPr>
                <w:rFonts w:ascii="仿宋_GB2312" w:hAnsi="仿宋_GB2312" w:cs="仿宋_GB2312" w:eastAsia="仿宋_GB2312"/>
                <w:sz w:val="21"/>
              </w:rPr>
              <w:t>科学严谨原则：从服务对象需求出发，综合考虑服务流程、资源配置、服务质量等实际情况，制定科学合理的技术方案。</w:t>
            </w:r>
          </w:p>
          <w:p>
            <w:pPr>
              <w:pStyle w:val="null3"/>
              <w:jc w:val="left"/>
            </w:pPr>
            <w:r>
              <w:rPr>
                <w:rFonts w:ascii="仿宋_GB2312" w:hAnsi="仿宋_GB2312" w:cs="仿宋_GB2312" w:eastAsia="仿宋_GB2312"/>
                <w:sz w:val="21"/>
              </w:rPr>
              <w:t xml:space="preserve">  3.</w:t>
            </w:r>
            <w:r>
              <w:rPr>
                <w:rFonts w:ascii="仿宋_GB2312" w:hAnsi="仿宋_GB2312" w:cs="仿宋_GB2312" w:eastAsia="仿宋_GB2312"/>
                <w:sz w:val="21"/>
              </w:rPr>
              <w:t>突出特色原则：结合周至县实际情况和特点，制定具有地方和部门特色的技术方案。</w:t>
            </w:r>
          </w:p>
          <w:p>
            <w:pPr>
              <w:pStyle w:val="null3"/>
              <w:jc w:val="left"/>
            </w:pPr>
            <w:r>
              <w:rPr>
                <w:rFonts w:ascii="仿宋_GB2312" w:hAnsi="仿宋_GB2312" w:cs="仿宋_GB2312" w:eastAsia="仿宋_GB2312"/>
                <w:sz w:val="21"/>
              </w:rPr>
              <w:t xml:space="preserve">  4.</w:t>
            </w:r>
            <w:r>
              <w:rPr>
                <w:rFonts w:ascii="仿宋_GB2312" w:hAnsi="仿宋_GB2312" w:cs="仿宋_GB2312" w:eastAsia="仿宋_GB2312"/>
                <w:sz w:val="21"/>
              </w:rPr>
              <w:t>注重实效原则：以实际效果为导向，确保技术方案具有可行性、可操作性，切实满足不同类别、不同层次服务对象要求。</w:t>
            </w:r>
          </w:p>
          <w:p>
            <w:pPr>
              <w:pStyle w:val="null3"/>
              <w:jc w:val="left"/>
            </w:pPr>
            <w:r>
              <w:rPr>
                <w:rFonts w:ascii="仿宋_GB2312" w:hAnsi="仿宋_GB2312" w:cs="仿宋_GB2312" w:eastAsia="仿宋_GB2312"/>
                <w:sz w:val="24"/>
                <w:b/>
              </w:rPr>
              <w:t>三、建设内容技术要求</w:t>
            </w:r>
          </w:p>
          <w:p>
            <w:pPr>
              <w:pStyle w:val="null3"/>
              <w:ind w:firstLine="210"/>
              <w:jc w:val="left"/>
            </w:pPr>
            <w:r>
              <w:rPr>
                <w:rFonts w:ascii="仿宋_GB2312" w:hAnsi="仿宋_GB2312" w:cs="仿宋_GB2312" w:eastAsia="仿宋_GB2312"/>
                <w:sz w:val="21"/>
              </w:rPr>
              <w:t>（一）标准体系搭建</w:t>
            </w:r>
          </w:p>
          <w:p>
            <w:pPr>
              <w:pStyle w:val="null3"/>
              <w:ind w:firstLine="210"/>
              <w:jc w:val="left"/>
            </w:pPr>
            <w:r>
              <w:rPr>
                <w:rFonts w:ascii="仿宋_GB2312" w:hAnsi="仿宋_GB2312" w:cs="仿宋_GB2312" w:eastAsia="仿宋_GB2312"/>
                <w:sz w:val="21"/>
              </w:rPr>
              <w:t xml:space="preserve"> 1.运用</w:t>
            </w:r>
            <w:r>
              <w:rPr>
                <w:rFonts w:ascii="仿宋_GB2312" w:hAnsi="仿宋_GB2312" w:cs="仿宋_GB2312" w:eastAsia="仿宋_GB2312"/>
                <w:sz w:val="21"/>
              </w:rPr>
              <w:t>合理</w:t>
            </w:r>
            <w:r>
              <w:rPr>
                <w:rFonts w:ascii="仿宋_GB2312" w:hAnsi="仿宋_GB2312" w:cs="仿宋_GB2312" w:eastAsia="仿宋_GB2312"/>
                <w:sz w:val="21"/>
              </w:rPr>
              <w:t>分析</w:t>
            </w:r>
            <w:r>
              <w:rPr>
                <w:rFonts w:ascii="仿宋_GB2312" w:hAnsi="仿宋_GB2312" w:cs="仿宋_GB2312" w:eastAsia="仿宋_GB2312"/>
                <w:sz w:val="21"/>
              </w:rPr>
              <w:t>方</w:t>
            </w:r>
            <w:r>
              <w:rPr>
                <w:rFonts w:ascii="仿宋_GB2312" w:hAnsi="仿宋_GB2312" w:cs="仿宋_GB2312" w:eastAsia="仿宋_GB2312"/>
                <w:sz w:val="21"/>
              </w:rPr>
              <w:t>法，对周至县行政审批系统开展全面政务服务标准化调研，形成调研基础</w:t>
            </w:r>
            <w:r>
              <w:rPr>
                <w:rFonts w:ascii="仿宋_GB2312" w:hAnsi="仿宋_GB2312" w:cs="仿宋_GB2312" w:eastAsia="仿宋_GB2312"/>
                <w:sz w:val="21"/>
              </w:rPr>
              <w:t>材料</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 xml:space="preserve"> 2.建立通用基础、服务提供、管理、岗位工作</w:t>
            </w:r>
            <w:r>
              <w:rPr>
                <w:rFonts w:ascii="仿宋_GB2312" w:hAnsi="仿宋_GB2312" w:cs="仿宋_GB2312" w:eastAsia="仿宋_GB2312"/>
                <w:sz w:val="21"/>
              </w:rPr>
              <w:t>4 大标准分体系，编制周至县政务服务标准。</w:t>
            </w:r>
          </w:p>
          <w:p>
            <w:pPr>
              <w:pStyle w:val="null3"/>
              <w:ind w:firstLine="210"/>
              <w:jc w:val="left"/>
            </w:pPr>
            <w:r>
              <w:rPr>
                <w:rFonts w:ascii="仿宋_GB2312" w:hAnsi="仿宋_GB2312" w:cs="仿宋_GB2312" w:eastAsia="仿宋_GB2312"/>
                <w:sz w:val="21"/>
              </w:rPr>
              <w:t xml:space="preserve"> 3.探索</w:t>
            </w:r>
            <w:r>
              <w:rPr>
                <w:rFonts w:ascii="仿宋_GB2312" w:hAnsi="仿宋_GB2312" w:cs="仿宋_GB2312" w:eastAsia="仿宋_GB2312"/>
                <w:sz w:val="21"/>
              </w:rPr>
              <w:t>“一窗受理” 审批服务模式，打造宽进、快办、严管、便民、公开的审批服务。</w:t>
            </w:r>
          </w:p>
          <w:p>
            <w:pPr>
              <w:pStyle w:val="null3"/>
              <w:ind w:firstLine="210"/>
              <w:jc w:val="left"/>
            </w:pPr>
            <w:r>
              <w:rPr>
                <w:rFonts w:ascii="仿宋_GB2312" w:hAnsi="仿宋_GB2312" w:cs="仿宋_GB2312" w:eastAsia="仿宋_GB2312"/>
                <w:sz w:val="21"/>
              </w:rPr>
              <w:t>（二）政务大厅标准化</w:t>
            </w:r>
          </w:p>
          <w:p>
            <w:pPr>
              <w:pStyle w:val="null3"/>
              <w:ind w:firstLine="210"/>
              <w:jc w:val="left"/>
            </w:pPr>
            <w:r>
              <w:rPr>
                <w:rFonts w:ascii="仿宋_GB2312" w:hAnsi="仿宋_GB2312" w:cs="仿宋_GB2312" w:eastAsia="仿宋_GB2312"/>
                <w:sz w:val="24"/>
                <w:b/>
              </w:rPr>
              <w:t>1.政务大厅现场标准化建设</w:t>
            </w:r>
          </w:p>
          <w:p>
            <w:pPr>
              <w:pStyle w:val="null3"/>
              <w:jc w:val="left"/>
            </w:pPr>
            <w:r>
              <w:rPr>
                <w:rFonts w:ascii="仿宋_GB2312" w:hAnsi="仿宋_GB2312" w:cs="仿宋_GB2312" w:eastAsia="仿宋_GB2312"/>
                <w:sz w:val="21"/>
              </w:rPr>
              <w:t xml:space="preserve">  （1）编制《政务服务中心建设工作规范》，对规划设计、功能布局、设施设备、标志标识等提出明确要求，提升政务服务大厅建设水平。</w:t>
            </w:r>
          </w:p>
          <w:p>
            <w:pPr>
              <w:pStyle w:val="null3"/>
              <w:jc w:val="left"/>
            </w:pPr>
            <w:r>
              <w:rPr>
                <w:rFonts w:ascii="仿宋_GB2312" w:hAnsi="仿宋_GB2312" w:cs="仿宋_GB2312" w:eastAsia="仿宋_GB2312"/>
                <w:sz w:val="21"/>
              </w:rPr>
              <w:t xml:space="preserve">  （2）编制《政务大厅运行管理规范》，涵盖现场安全管理、办公场所、空间管理、信息管理、废物管理等标准，形成现场标准化管理制度，细化量化管理标准、服务标准、运行标准。</w:t>
            </w:r>
          </w:p>
          <w:p>
            <w:pPr>
              <w:pStyle w:val="null3"/>
              <w:jc w:val="left"/>
            </w:pPr>
            <w:r>
              <w:rPr>
                <w:rFonts w:ascii="仿宋_GB2312" w:hAnsi="仿宋_GB2312" w:cs="仿宋_GB2312" w:eastAsia="仿宋_GB2312"/>
                <w:sz w:val="21"/>
              </w:rPr>
              <w:t xml:space="preserve">  （3）政务大厅标准落地服务</w:t>
            </w:r>
          </w:p>
          <w:p>
            <w:pPr>
              <w:pStyle w:val="null3"/>
              <w:jc w:val="left"/>
            </w:pPr>
            <w:r>
              <w:rPr>
                <w:rFonts w:ascii="仿宋_GB2312" w:hAnsi="仿宋_GB2312" w:cs="仿宋_GB2312" w:eastAsia="仿宋_GB2312"/>
                <w:sz w:val="21"/>
              </w:rPr>
              <w:t xml:space="preserve">  （4）采用可视化管理等手段，对政务大厅</w:t>
            </w:r>
            <w:r>
              <w:rPr>
                <w:rFonts w:ascii="仿宋_GB2312" w:hAnsi="仿宋_GB2312" w:cs="仿宋_GB2312" w:eastAsia="仿宋_GB2312"/>
                <w:sz w:val="21"/>
              </w:rPr>
              <w:t xml:space="preserve">“人力、空间、物品、设备、信息、废物” </w:t>
            </w:r>
            <w:r>
              <w:rPr>
                <w:rFonts w:ascii="仿宋_GB2312" w:hAnsi="仿宋_GB2312" w:cs="仿宋_GB2312" w:eastAsia="仿宋_GB2312"/>
                <w:sz w:val="21"/>
              </w:rPr>
              <w:t>等</w:t>
            </w:r>
            <w:r>
              <w:rPr>
                <w:rFonts w:ascii="仿宋_GB2312" w:hAnsi="仿宋_GB2312" w:cs="仿宋_GB2312" w:eastAsia="仿宋_GB2312"/>
                <w:sz w:val="21"/>
              </w:rPr>
              <w:t>资源进行科学整理、合理整顿、常态清扫、保持清洁。制定物品清单、摆放标准、卫生标准、设备设施维护标准等。</w:t>
            </w:r>
          </w:p>
          <w:p>
            <w:pPr>
              <w:pStyle w:val="null3"/>
              <w:jc w:val="left"/>
            </w:pPr>
            <w:r>
              <w:rPr>
                <w:rFonts w:ascii="仿宋_GB2312" w:hAnsi="仿宋_GB2312" w:cs="仿宋_GB2312" w:eastAsia="仿宋_GB2312"/>
                <w:sz w:val="21"/>
              </w:rPr>
              <w:t xml:space="preserve">  （5）通过培训形成工作人员良好的标准化意识</w:t>
            </w:r>
            <w:r>
              <w:rPr>
                <w:rFonts w:ascii="仿宋_GB2312" w:hAnsi="仿宋_GB2312" w:cs="仿宋_GB2312" w:eastAsia="仿宋_GB2312"/>
                <w:sz w:val="21"/>
              </w:rPr>
              <w:t>，</w:t>
            </w:r>
            <w:r>
              <w:rPr>
                <w:rFonts w:ascii="仿宋_GB2312" w:hAnsi="仿宋_GB2312" w:cs="仿宋_GB2312" w:eastAsia="仿宋_GB2312"/>
                <w:sz w:val="21"/>
              </w:rPr>
              <w:t>制定服务标准和规范，明确服务态度、言行举止、处理问题能力等要求；建立监督机制，定期对服务质量和标准化工作进行监督检查。</w:t>
            </w:r>
          </w:p>
          <w:p>
            <w:pPr>
              <w:pStyle w:val="null3"/>
              <w:jc w:val="left"/>
            </w:pPr>
            <w:r>
              <w:rPr>
                <w:rFonts w:ascii="仿宋_GB2312" w:hAnsi="仿宋_GB2312" w:cs="仿宋_GB2312" w:eastAsia="仿宋_GB2312"/>
                <w:sz w:val="24"/>
                <w:b/>
              </w:rPr>
              <w:t xml:space="preserve"> 2.政务大厅环境创设</w:t>
            </w:r>
          </w:p>
          <w:p>
            <w:pPr>
              <w:pStyle w:val="null3"/>
              <w:jc w:val="left"/>
            </w:pPr>
            <w:r>
              <w:rPr>
                <w:rFonts w:ascii="仿宋_GB2312" w:hAnsi="仿宋_GB2312" w:cs="仿宋_GB2312" w:eastAsia="仿宋_GB2312"/>
                <w:sz w:val="21"/>
              </w:rPr>
              <w:t xml:space="preserve">  （1）视觉</w:t>
            </w:r>
            <w:r>
              <w:rPr>
                <w:rFonts w:ascii="仿宋_GB2312" w:hAnsi="仿宋_GB2312" w:cs="仿宋_GB2312" w:eastAsia="仿宋_GB2312"/>
                <w:sz w:val="21"/>
              </w:rPr>
              <w:t>VI 系统设计：按照政务服务理念及大厅环境创设理念，设计形象视觉识别系统，统一服务设施、物品、标识等规格、材质、颜色、工艺，形成标准化装帧手册</w:t>
            </w:r>
            <w:r>
              <w:rPr>
                <w:rFonts w:ascii="仿宋_GB2312" w:hAnsi="仿宋_GB2312" w:cs="仿宋_GB2312" w:eastAsia="仿宋_GB2312"/>
                <w:sz w:val="21"/>
              </w:rPr>
              <w:t>，</w:t>
            </w:r>
            <w:r>
              <w:rPr>
                <w:rFonts w:ascii="仿宋_GB2312" w:hAnsi="仿宋_GB2312" w:cs="仿宋_GB2312" w:eastAsia="仿宋_GB2312"/>
                <w:sz w:val="21"/>
              </w:rPr>
              <w:t>合理设计空间布局、色彩搭配，制作吸引人的宣传展示。</w:t>
            </w:r>
          </w:p>
          <w:p>
            <w:pPr>
              <w:pStyle w:val="null3"/>
              <w:jc w:val="left"/>
            </w:pPr>
            <w:r>
              <w:rPr>
                <w:rFonts w:ascii="仿宋_GB2312" w:hAnsi="仿宋_GB2312" w:cs="仿宋_GB2312" w:eastAsia="仿宋_GB2312"/>
                <w:sz w:val="21"/>
              </w:rPr>
              <w:t xml:space="preserve">  （2）标识标志设计及制作安装：根据服务需求及政务服务标准体系要求，优化现有标识标志</w:t>
            </w:r>
            <w:r>
              <w:rPr>
                <w:rFonts w:ascii="仿宋_GB2312" w:hAnsi="仿宋_GB2312" w:cs="仿宋_GB2312" w:eastAsia="仿宋_GB2312"/>
                <w:sz w:val="21"/>
              </w:rPr>
              <w:t>，</w:t>
            </w:r>
            <w:r>
              <w:rPr>
                <w:rFonts w:ascii="仿宋_GB2312" w:hAnsi="仿宋_GB2312" w:cs="仿宋_GB2312" w:eastAsia="仿宋_GB2312"/>
                <w:sz w:val="21"/>
              </w:rPr>
              <w:t>设计简洁大方的标志，构建简洁明了标识系统，配备基本标识、引导标识等</w:t>
            </w:r>
            <w:r>
              <w:rPr>
                <w:rFonts w:ascii="仿宋_GB2312" w:hAnsi="仿宋_GB2312" w:cs="仿宋_GB2312" w:eastAsia="仿宋_GB2312"/>
                <w:sz w:val="21"/>
              </w:rPr>
              <w:t>7类标识。</w:t>
            </w:r>
          </w:p>
          <w:p>
            <w:pPr>
              <w:pStyle w:val="null3"/>
              <w:ind w:firstLine="210"/>
              <w:jc w:val="left"/>
            </w:pPr>
            <w:r>
              <w:rPr>
                <w:rFonts w:ascii="仿宋_GB2312" w:hAnsi="仿宋_GB2312" w:cs="仿宋_GB2312" w:eastAsia="仿宋_GB2312"/>
                <w:sz w:val="21"/>
              </w:rPr>
              <w:t>（三）购置</w:t>
            </w:r>
            <w:r>
              <w:rPr>
                <w:rFonts w:ascii="仿宋_GB2312" w:hAnsi="仿宋_GB2312" w:cs="仿宋_GB2312" w:eastAsia="仿宋_GB2312"/>
                <w:sz w:val="21"/>
              </w:rPr>
              <w:t>LED 大屏</w:t>
            </w:r>
          </w:p>
          <w:p>
            <w:pPr>
              <w:pStyle w:val="null3"/>
              <w:ind w:firstLine="210"/>
              <w:jc w:val="left"/>
            </w:pPr>
            <w:r>
              <w:rPr>
                <w:rFonts w:ascii="仿宋_GB2312" w:hAnsi="仿宋_GB2312" w:cs="仿宋_GB2312" w:eastAsia="仿宋_GB2312"/>
                <w:sz w:val="21"/>
              </w:rPr>
              <w:t xml:space="preserve">  （</w:t>
            </w:r>
            <w:r>
              <w:rPr>
                <w:rFonts w:ascii="仿宋_GB2312" w:hAnsi="仿宋_GB2312" w:cs="仿宋_GB2312" w:eastAsia="仿宋_GB2312"/>
                <w:sz w:val="21"/>
              </w:rPr>
              <w:t>1）购置满足周至县政务服务大厅尺寸（3.3m*3.2m）的室内全彩LED大屏一套。</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LED 大屏需具备实时性、可视化展示功能。</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确保大屏显示清晰、稳定，具备良好的可视角度和亮度，满足大厅不同区域人员观看需求。</w:t>
            </w:r>
          </w:p>
          <w:p>
            <w:pPr>
              <w:pStyle w:val="null3"/>
              <w:jc w:val="both"/>
            </w:pPr>
            <w:r>
              <w:rPr>
                <w:rFonts w:ascii="仿宋_GB2312" w:hAnsi="仿宋_GB2312" w:cs="仿宋_GB2312" w:eastAsia="仿宋_GB2312"/>
                <w:sz w:val="24"/>
                <w:b/>
              </w:rPr>
              <w:t>四、项目</w:t>
            </w:r>
            <w:r>
              <w:rPr>
                <w:rFonts w:ascii="仿宋_GB2312" w:hAnsi="仿宋_GB2312" w:cs="仿宋_GB2312" w:eastAsia="仿宋_GB2312"/>
                <w:sz w:val="24"/>
                <w:b/>
              </w:rPr>
              <w:t>清单</w:t>
            </w:r>
          </w:p>
          <w:tbl>
            <w:tblPr>
              <w:tblInd w:type="dxa" w:w="90"/>
              <w:tblBorders>
                <w:top w:val="none" w:color="000000" w:sz="4"/>
                <w:left w:val="none" w:color="000000" w:sz="4"/>
                <w:bottom w:val="none" w:color="000000" w:sz="4"/>
                <w:right w:val="none" w:color="000000" w:sz="4"/>
                <w:insideH w:val="none"/>
                <w:insideV w:val="none"/>
              </w:tblBorders>
            </w:tblPr>
            <w:tblGrid>
              <w:gridCol w:w="143"/>
              <w:gridCol w:w="188"/>
              <w:gridCol w:w="188"/>
              <w:gridCol w:w="225"/>
              <w:gridCol w:w="766"/>
              <w:gridCol w:w="434"/>
              <w:gridCol w:w="135"/>
              <w:gridCol w:w="118"/>
              <w:gridCol w:w="327"/>
            </w:tblGrid>
            <w:tr>
              <w:tc>
                <w:tcPr>
                  <w:tcW w:type="dxa" w:w="14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8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类别</w:t>
                  </w:r>
                </w:p>
              </w:tc>
              <w:tc>
                <w:tcPr>
                  <w:tcW w:type="dxa" w:w="18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阶段</w:t>
                  </w:r>
                </w:p>
              </w:tc>
              <w:tc>
                <w:tcPr>
                  <w:tcW w:type="dxa" w:w="2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主要任务</w:t>
                  </w:r>
                </w:p>
              </w:tc>
              <w:tc>
                <w:tcPr>
                  <w:tcW w:type="dxa" w:w="7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建设内容</w:t>
                  </w:r>
                </w:p>
              </w:tc>
              <w:tc>
                <w:tcPr>
                  <w:tcW w:type="dxa" w:w="43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成果要求</w:t>
                  </w:r>
                </w:p>
              </w:tc>
              <w:tc>
                <w:tcPr>
                  <w:tcW w:type="dxa" w:w="58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明细</w:t>
                  </w:r>
                </w:p>
              </w:tc>
            </w:tr>
            <w:tr>
              <w:tc>
                <w:tcPr>
                  <w:tcW w:type="dxa" w:w="143"/>
                  <w:vMerge/>
                  <w:tcBorders>
                    <w:top w:val="single" w:color="000000" w:sz="4"/>
                    <w:left w:val="single" w:color="000000" w:sz="4"/>
                    <w:bottom w:val="single" w:color="000000" w:sz="4"/>
                    <w:right w:val="single" w:color="000000" w:sz="4"/>
                  </w:tcBorders>
                </w:tcPr>
                <w:p/>
              </w:tc>
              <w:tc>
                <w:tcPr>
                  <w:tcW w:type="dxa" w:w="188"/>
                  <w:vMerge/>
                  <w:tcBorders>
                    <w:top w:val="single" w:color="000000" w:sz="4"/>
                    <w:left w:val="none" w:color="000000" w:sz="4"/>
                    <w:bottom w:val="single" w:color="000000" w:sz="4"/>
                    <w:right w:val="single" w:color="000000" w:sz="4"/>
                  </w:tcBorders>
                </w:tcPr>
                <w:p/>
              </w:tc>
              <w:tc>
                <w:tcPr>
                  <w:tcW w:type="dxa" w:w="188"/>
                  <w:vMerge/>
                  <w:tcBorders>
                    <w:top w:val="single" w:color="000000" w:sz="4"/>
                    <w:left w:val="none" w:color="000000" w:sz="4"/>
                    <w:bottom w:val="single" w:color="000000" w:sz="4"/>
                    <w:right w:val="single" w:color="000000" w:sz="4"/>
                  </w:tcBorders>
                </w:tcPr>
                <w:p/>
              </w:tc>
              <w:tc>
                <w:tcPr>
                  <w:tcW w:type="dxa" w:w="225"/>
                  <w:vMerge/>
                  <w:tcBorders>
                    <w:top w:val="single" w:color="000000" w:sz="4"/>
                    <w:left w:val="none" w:color="000000" w:sz="4"/>
                    <w:bottom w:val="single" w:color="000000" w:sz="4"/>
                    <w:right w:val="single" w:color="000000" w:sz="4"/>
                  </w:tcBorders>
                </w:tcPr>
                <w:p/>
              </w:tc>
              <w:tc>
                <w:tcPr>
                  <w:tcW w:type="dxa" w:w="766"/>
                  <w:vMerge/>
                  <w:tcBorders>
                    <w:top w:val="single" w:color="000000" w:sz="4"/>
                    <w:left w:val="none" w:color="000000" w:sz="4"/>
                    <w:bottom w:val="single" w:color="000000" w:sz="4"/>
                    <w:right w:val="single" w:color="000000" w:sz="4"/>
                  </w:tcBorders>
                </w:tcPr>
                <w:p/>
              </w:tc>
              <w:tc>
                <w:tcPr>
                  <w:tcW w:type="dxa" w:w="434"/>
                  <w:vMerge/>
                  <w:tcBorders>
                    <w:top w:val="single" w:color="000000" w:sz="4"/>
                    <w:left w:val="non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说明</w:t>
                  </w:r>
                </w:p>
              </w:tc>
            </w:tr>
            <w:tr>
              <w:tc>
                <w:tcPr>
                  <w:tcW w:type="dxa" w:w="1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咨询服务费</w:t>
                  </w:r>
                  <w:r>
                    <w:rPr>
                      <w:rFonts w:ascii="仿宋_GB2312" w:hAnsi="仿宋_GB2312" w:cs="仿宋_GB2312" w:eastAsia="仿宋_GB2312"/>
                      <w:sz w:val="24"/>
                      <w:color w:val="000000"/>
                    </w:rPr>
                    <w:t>—标准体系搭建</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调研规划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资料收集</w:t>
                  </w:r>
                  <w:r>
                    <w:br/>
                  </w:r>
                  <w:r>
                    <w:rPr>
                      <w:rFonts w:ascii="仿宋_GB2312" w:hAnsi="仿宋_GB2312" w:cs="仿宋_GB2312" w:eastAsia="仿宋_GB2312"/>
                      <w:sz w:val="24"/>
                      <w:color w:val="000000"/>
                    </w:rPr>
                    <w:t>与整理</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收集国家及地方政务服务相关政策法规、其他地区优秀政务服务标准案例，整理周至县政务服务历史资料、现有业务流程文档等，为后续工作提供参考依据</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参与调研方案起草、调研记录整理、资料收集、数据分析等工作。</w:t>
                  </w:r>
                </w:p>
              </w:tc>
            </w:tr>
            <w:tr>
              <w:tc>
                <w:tcPr>
                  <w:tcW w:type="dxa" w:w="143"/>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实地走访调研</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深入周至县政务服务大厅各窗口，观察业务办理实际操作，与工作人员交流，了解工作难点与需求；走访办事群众，收集意见与建议，明确服务痛点与期望改进方向</w:t>
                  </w:r>
                </w:p>
              </w:tc>
              <w:tc>
                <w:tcPr>
                  <w:tcW w:type="dxa" w:w="434"/>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部门协同研讨</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组织县内各政务服务部门，沟通交流各部门业务特点、协同需求，探讨在标准化管理下如何优化部门间信息共享、业务衔接机制，为制定统一且贴合实际的标准凝聚部门共识。</w:t>
                  </w:r>
                </w:p>
              </w:tc>
              <w:tc>
                <w:tcPr>
                  <w:tcW w:type="dxa" w:w="434"/>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8"/>
                  <w:vMerge/>
                  <w:tcBorders>
                    <w:top w:val="none" w:color="000000" w:sz="4"/>
                    <w:left w:val="none" w:color="000000" w:sz="4"/>
                    <w:bottom w:val="singl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方案制定</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标准体系框架设计</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综合调研所得，规划政务服务标准化管理办法、工作方案与标准体系框架。明确管理办法中核心要素框架，设计工作方案推进路线，勾勒标准体系涵盖维度与各成果物内在联系，为整体标准化建设锚定方向与架构基础。</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1.周至县政务服务标准化规范化便利化项目实施方案；</w:t>
                  </w:r>
                  <w:r>
                    <w:br/>
                  </w:r>
                  <w:r>
                    <w:rPr>
                      <w:rFonts w:ascii="仿宋_GB2312" w:hAnsi="仿宋_GB2312" w:cs="仿宋_GB2312" w:eastAsia="仿宋_GB2312"/>
                      <w:sz w:val="24"/>
                      <w:color w:val="000000"/>
                    </w:rPr>
                    <w:t>2.周至县政务服务标准化管理办法；</w:t>
                  </w:r>
                  <w:r>
                    <w:br/>
                  </w:r>
                  <w:r>
                    <w:rPr>
                      <w:rFonts w:ascii="仿宋_GB2312" w:hAnsi="仿宋_GB2312" w:cs="仿宋_GB2312" w:eastAsia="仿宋_GB2312"/>
                      <w:sz w:val="24"/>
                      <w:color w:val="000000"/>
                    </w:rPr>
                    <w:t>3.周至县政务服务标准化工作方案；</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负责调研数据分析，材料整理、方案和办法撰写等工作。</w:t>
                  </w:r>
                </w:p>
              </w:tc>
            </w:tr>
            <w:tr>
              <w:tc>
                <w:tcPr>
                  <w:tcW w:type="dxa" w:w="1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8"/>
                  <w:vMerge/>
                  <w:tcBorders>
                    <w:top w:val="none" w:color="000000" w:sz="4"/>
                    <w:left w:val="none" w:color="000000" w:sz="4"/>
                    <w:bottom w:val="single" w:color="000000" w:sz="4"/>
                    <w:right w:val="single" w:color="000000" w:sz="4"/>
                  </w:tcBorders>
                </w:tcP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体系建设</w:t>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搭建政务服务标准体系</w:t>
                  </w:r>
                </w:p>
              </w:tc>
              <w:tc>
                <w:tcPr>
                  <w:tcW w:type="dxa" w:w="7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全面梳理政务服务各项工作内容，涵盖政务、事务、内务，形成政务服务工作清单，并按照</w:t>
                  </w:r>
                  <w:r>
                    <w:rPr>
                      <w:rFonts w:ascii="仿宋_GB2312" w:hAnsi="仿宋_GB2312" w:cs="仿宋_GB2312" w:eastAsia="仿宋_GB2312"/>
                      <w:sz w:val="24"/>
                      <w:color w:val="000000"/>
                    </w:rPr>
                    <w:t>“全过程梳理，全业务覆盖，全方位构建”的建设思路，建立与法律法规协调统一、满足GB/T32170等相关国家标准要求、与周至县政务服务发展战略、管理和服务事项、流程相适应的周至县政务服务标准体系。</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4.周至县政务服务标准体系框架；</w:t>
                  </w:r>
                  <w:r>
                    <w:br/>
                  </w:r>
                  <w:r>
                    <w:rPr>
                      <w:rFonts w:ascii="仿宋_GB2312" w:hAnsi="仿宋_GB2312" w:cs="仿宋_GB2312" w:eastAsia="仿宋_GB2312"/>
                      <w:sz w:val="24"/>
                      <w:color w:val="000000"/>
                    </w:rPr>
                    <w:t>5.周至县政务服务标准体系；</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咨询顾问</w:t>
                  </w:r>
                </w:p>
              </w:tc>
            </w:tr>
            <w:tr>
              <w:tc>
                <w:tcPr>
                  <w:tcW w:type="dxa" w:w="143"/>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766"/>
                  <w:vMerge/>
                  <w:tcBorders>
                    <w:top w:val="none" w:color="000000" w:sz="4"/>
                    <w:left w:val="none" w:color="000000" w:sz="4"/>
                    <w:bottom w:val="single" w:color="000000" w:sz="4"/>
                    <w:right w:val="single" w:color="000000" w:sz="4"/>
                  </w:tcBorders>
                </w:tcPr>
                <w:p/>
              </w:tc>
              <w:tc>
                <w:tcPr>
                  <w:tcW w:type="dxa" w:w="434"/>
                  <w:vMerge/>
                  <w:tcBorders>
                    <w:top w:val="none" w:color="000000" w:sz="4"/>
                    <w:left w:val="non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咨询顾问</w:t>
                  </w:r>
                </w:p>
              </w:tc>
            </w:tr>
            <w:tr>
              <w:tc>
                <w:tcPr>
                  <w:tcW w:type="dxa" w:w="1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咨询服务费</w:t>
                  </w:r>
                  <w:r>
                    <w:rPr>
                      <w:rFonts w:ascii="仿宋_GB2312" w:hAnsi="仿宋_GB2312" w:cs="仿宋_GB2312" w:eastAsia="仿宋_GB2312"/>
                      <w:sz w:val="24"/>
                      <w:color w:val="000000"/>
                    </w:rPr>
                    <w:t>—标准文本编制</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标准编写</w:t>
                  </w:r>
                  <w:r>
                    <w:br/>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编制政务大厅现场标准</w:t>
                  </w:r>
                </w:p>
              </w:tc>
              <w:tc>
                <w:tcPr>
                  <w:tcW w:type="dxa" w:w="7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依据周至县政务服务标准体系，按照</w:t>
                  </w:r>
                  <w:r>
                    <w:rPr>
                      <w:rFonts w:ascii="仿宋_GB2312" w:hAnsi="仿宋_GB2312" w:cs="仿宋_GB2312" w:eastAsia="仿宋_GB2312"/>
                      <w:sz w:val="24"/>
                      <w:color w:val="000000"/>
                    </w:rPr>
                    <w:t>GB/T1.1要求，编制文本结构合理、语言表达准确、符合实际工作需求的标准文本</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6.周至县政务服务中心建设工作规范；</w:t>
                  </w:r>
                  <w:r>
                    <w:br/>
                  </w:r>
                  <w:r>
                    <w:rPr>
                      <w:rFonts w:ascii="仿宋_GB2312" w:hAnsi="仿宋_GB2312" w:cs="仿宋_GB2312" w:eastAsia="仿宋_GB2312"/>
                      <w:sz w:val="24"/>
                      <w:color w:val="000000"/>
                    </w:rPr>
                    <w:t>7.周至县政务大厅运行管理规范（含以下标准）；</w:t>
                  </w:r>
                  <w:r>
                    <w:br/>
                  </w:r>
                  <w:r>
                    <w:rPr>
                      <w:rFonts w:ascii="仿宋_GB2312" w:hAnsi="仿宋_GB2312" w:cs="仿宋_GB2312" w:eastAsia="仿宋_GB2312"/>
                      <w:sz w:val="24"/>
                      <w:color w:val="000000"/>
                    </w:rPr>
                    <w:t>现场安全管理标准；</w:t>
                  </w:r>
                </w:p>
                <w:p>
                  <w:pPr>
                    <w:pStyle w:val="null3"/>
                    <w:jc w:val="left"/>
                  </w:pPr>
                  <w:r>
                    <w:rPr>
                      <w:rFonts w:ascii="仿宋_GB2312" w:hAnsi="仿宋_GB2312" w:cs="仿宋_GB2312" w:eastAsia="仿宋_GB2312"/>
                      <w:sz w:val="24"/>
                      <w:color w:val="000000"/>
                    </w:rPr>
                    <w:t>现场办公场所标准；</w:t>
                  </w:r>
                  <w:r>
                    <w:br/>
                  </w:r>
                  <w:r>
                    <w:rPr>
                      <w:rFonts w:ascii="仿宋_GB2312" w:hAnsi="仿宋_GB2312" w:cs="仿宋_GB2312" w:eastAsia="仿宋_GB2312"/>
                      <w:sz w:val="24"/>
                      <w:color w:val="000000"/>
                    </w:rPr>
                    <w:t>现场空间管理标准；</w:t>
                  </w:r>
                  <w:r>
                    <w:br/>
                  </w:r>
                  <w:r>
                    <w:rPr>
                      <w:rFonts w:ascii="仿宋_GB2312" w:hAnsi="仿宋_GB2312" w:cs="仿宋_GB2312" w:eastAsia="仿宋_GB2312"/>
                      <w:sz w:val="24"/>
                      <w:color w:val="000000"/>
                    </w:rPr>
                    <w:t>现场信息管理标准；</w:t>
                  </w:r>
                  <w:r>
                    <w:br/>
                  </w:r>
                  <w:r>
                    <w:rPr>
                      <w:rFonts w:ascii="仿宋_GB2312" w:hAnsi="仿宋_GB2312" w:cs="仿宋_GB2312" w:eastAsia="仿宋_GB2312"/>
                      <w:sz w:val="24"/>
                      <w:color w:val="000000"/>
                    </w:rPr>
                    <w:t>现场物品管理标准；</w:t>
                  </w:r>
                  <w:r>
                    <w:br/>
                  </w:r>
                  <w:r>
                    <w:rPr>
                      <w:rFonts w:ascii="仿宋_GB2312" w:hAnsi="仿宋_GB2312" w:cs="仿宋_GB2312" w:eastAsia="仿宋_GB2312"/>
                      <w:sz w:val="24"/>
                      <w:color w:val="000000"/>
                    </w:rPr>
                    <w:t>现场设备管理标准；</w:t>
                  </w:r>
                  <w:r>
                    <w:br/>
                  </w:r>
                  <w:r>
                    <w:rPr>
                      <w:rFonts w:ascii="仿宋_GB2312" w:hAnsi="仿宋_GB2312" w:cs="仿宋_GB2312" w:eastAsia="仿宋_GB2312"/>
                      <w:sz w:val="24"/>
                      <w:color w:val="000000"/>
                    </w:rPr>
                    <w:t>现场废物管理标准；</w:t>
                  </w:r>
                  <w:r>
                    <w:br/>
                  </w:r>
                  <w:r>
                    <w:rPr>
                      <w:rFonts w:ascii="仿宋_GB2312" w:hAnsi="仿宋_GB2312" w:cs="仿宋_GB2312" w:eastAsia="仿宋_GB2312"/>
                      <w:sz w:val="24"/>
                      <w:color w:val="000000"/>
                    </w:rPr>
                    <w:t>现场标准化管理制度；</w:t>
                  </w:r>
                </w:p>
              </w:tc>
              <w:tc>
                <w:tcPr>
                  <w:tcW w:type="dxa" w:w="13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1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咨询顾问</w:t>
                  </w:r>
                </w:p>
              </w:tc>
            </w:tr>
            <w:tr>
              <w:tc>
                <w:tcPr>
                  <w:tcW w:type="dxa" w:w="143"/>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766"/>
                  <w:vMerge/>
                  <w:tcBorders>
                    <w:top w:val="none" w:color="000000" w:sz="4"/>
                    <w:left w:val="none" w:color="000000" w:sz="4"/>
                    <w:bottom w:val="single" w:color="000000" w:sz="4"/>
                    <w:right w:val="single" w:color="000000" w:sz="4"/>
                  </w:tcBorders>
                </w:tcPr>
                <w:p/>
              </w:tc>
              <w:tc>
                <w:tcPr>
                  <w:tcW w:type="dxa" w:w="434"/>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none" w:color="000000" w:sz="4"/>
                    <w:right w:val="single" w:color="000000" w:sz="4"/>
                  </w:tcBorders>
                </w:tcPr>
                <w:p/>
              </w:tc>
              <w:tc>
                <w:tcPr>
                  <w:tcW w:type="dxa" w:w="118"/>
                  <w:vMerge/>
                  <w:tcBorders>
                    <w:top w:val="none" w:color="000000" w:sz="4"/>
                    <w:left w:val="none" w:color="000000" w:sz="4"/>
                    <w:bottom w:val="non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766"/>
                  <w:vMerge/>
                  <w:tcBorders>
                    <w:top w:val="none" w:color="000000" w:sz="4"/>
                    <w:left w:val="none" w:color="000000" w:sz="4"/>
                    <w:bottom w:val="single" w:color="000000" w:sz="4"/>
                    <w:right w:val="single" w:color="000000" w:sz="4"/>
                  </w:tcBorders>
                </w:tcPr>
                <w:p/>
              </w:tc>
              <w:tc>
                <w:tcPr>
                  <w:tcW w:type="dxa" w:w="434"/>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none" w:color="000000" w:sz="4"/>
                    <w:right w:val="single" w:color="000000" w:sz="4"/>
                  </w:tcBorders>
                </w:tcPr>
                <w:p/>
              </w:tc>
              <w:tc>
                <w:tcPr>
                  <w:tcW w:type="dxa" w:w="118"/>
                  <w:vMerge/>
                  <w:tcBorders>
                    <w:top w:val="none" w:color="000000" w:sz="4"/>
                    <w:left w:val="none" w:color="000000" w:sz="4"/>
                    <w:bottom w:val="non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征求意见</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组织标准征求意见工作，根据收集的反馈意见对标准进行调整并定稿</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16.根据征求意见修订标准；</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咨询顾问</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咨询服务费</w:t>
                  </w:r>
                  <w:r>
                    <w:rPr>
                      <w:rFonts w:ascii="仿宋_GB2312" w:hAnsi="仿宋_GB2312" w:cs="仿宋_GB2312" w:eastAsia="仿宋_GB2312"/>
                      <w:sz w:val="24"/>
                      <w:color w:val="000000"/>
                    </w:rPr>
                    <w:t>—标准实施与改进</w:t>
                  </w:r>
                  <w:r>
                    <w:br/>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宣贯培训</w:t>
                  </w:r>
                  <w:r>
                    <w:br/>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培训指导</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组织对各项标准的实施培训，形成</w:t>
                  </w:r>
                  <w:r>
                    <w:rPr>
                      <w:rFonts w:ascii="仿宋_GB2312" w:hAnsi="仿宋_GB2312" w:cs="仿宋_GB2312" w:eastAsia="仿宋_GB2312"/>
                      <w:sz w:val="24"/>
                      <w:color w:val="000000"/>
                    </w:rPr>
                    <w:t>“人人学标准、人人守标准、人人用标准”的浓厚氛围</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17.组织培训或指导；</w:t>
                  </w:r>
                </w:p>
              </w:tc>
              <w:tc>
                <w:tcPr>
                  <w:tcW w:type="dxa" w:w="1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1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咨询顾问</w:t>
                  </w:r>
                </w:p>
              </w:tc>
            </w:tr>
            <w:tr>
              <w:tc>
                <w:tcPr>
                  <w:tcW w:type="dxa" w:w="1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88"/>
                  <w:vMerge/>
                  <w:tcBorders>
                    <w:top w:val="none" w:color="000000" w:sz="4"/>
                    <w:left w:val="none" w:color="000000" w:sz="4"/>
                    <w:bottom w:val="single" w:color="000000" w:sz="4"/>
                    <w:right w:val="single" w:color="000000" w:sz="4"/>
                  </w:tcBorders>
                </w:tcP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实施改进</w:t>
                  </w:r>
                  <w:r>
                    <w:br/>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监督检查</w:t>
                  </w:r>
                </w:p>
              </w:tc>
              <w:tc>
                <w:tcPr>
                  <w:tcW w:type="dxa" w:w="7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对标准实施指导，并检查实施情况，形成过程记录</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18.政务大厅标准化实施、监督过程文档</w:t>
                  </w:r>
                </w:p>
              </w:tc>
              <w:tc>
                <w:tcPr>
                  <w:tcW w:type="dxa" w:w="1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咨询顾问</w:t>
                  </w:r>
                </w:p>
              </w:tc>
            </w:tr>
            <w:tr>
              <w:tc>
                <w:tcPr>
                  <w:tcW w:type="dxa" w:w="143"/>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766"/>
                  <w:vMerge/>
                  <w:tcBorders>
                    <w:top w:val="none" w:color="000000" w:sz="4"/>
                    <w:left w:val="none" w:color="000000" w:sz="4"/>
                    <w:bottom w:val="single" w:color="000000" w:sz="4"/>
                    <w:right w:val="single" w:color="000000" w:sz="4"/>
                  </w:tcBorders>
                </w:tcPr>
                <w:p/>
              </w:tc>
              <w:tc>
                <w:tcPr>
                  <w:tcW w:type="dxa" w:w="434"/>
                  <w:vMerge/>
                  <w:tcBorders>
                    <w:top w:val="non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18"/>
                  <w:vMerge/>
                  <w:tcBorders>
                    <w:top w:val="single" w:color="000000" w:sz="4"/>
                    <w:left w:val="non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r>
            <w:tr>
              <w:tc>
                <w:tcPr>
                  <w:tcW w:type="dxa" w:w="143"/>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持续改进</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对标准实施的符合性和实施效果进行跟踪改进</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19.重大事项改进记录</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咨询顾问</w:t>
                  </w:r>
                </w:p>
              </w:tc>
            </w:tr>
            <w:tr>
              <w:tc>
                <w:tcPr>
                  <w:tcW w:type="dxa" w:w="1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咨询服务费</w:t>
                  </w:r>
                  <w:r>
                    <w:rPr>
                      <w:rFonts w:ascii="仿宋_GB2312" w:hAnsi="仿宋_GB2312" w:cs="仿宋_GB2312" w:eastAsia="仿宋_GB2312"/>
                      <w:sz w:val="24"/>
                      <w:color w:val="000000"/>
                    </w:rPr>
                    <w:t>—政务大厅环境创设</w:t>
                  </w:r>
                  <w:r>
                    <w:br/>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视觉设计及标识制作安装</w:t>
                  </w:r>
                  <w:r>
                    <w:br/>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视觉</w:t>
                  </w:r>
                  <w:r>
                    <w:rPr>
                      <w:rFonts w:ascii="仿宋_GB2312" w:hAnsi="仿宋_GB2312" w:cs="仿宋_GB2312" w:eastAsia="仿宋_GB2312"/>
                      <w:sz w:val="24"/>
                      <w:color w:val="000000"/>
                    </w:rPr>
                    <w:t>VI系统设计</w:t>
                  </w:r>
                </w:p>
              </w:tc>
              <w:tc>
                <w:tcPr>
                  <w:tcW w:type="dxa" w:w="7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统一设计政务大厅标准、标识等宣传物料，形成标准化视觉识别系统</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20.政务大厅视觉识别系统（VI)</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负责统一政务大厅标识标志</w:t>
                  </w:r>
                </w:p>
              </w:tc>
            </w:tr>
            <w:tr>
              <w:tc>
                <w:tcPr>
                  <w:tcW w:type="dxa" w:w="143"/>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766"/>
                  <w:vMerge/>
                  <w:tcBorders>
                    <w:top w:val="none" w:color="000000" w:sz="4"/>
                    <w:left w:val="none" w:color="000000" w:sz="4"/>
                    <w:bottom w:val="single" w:color="000000" w:sz="4"/>
                    <w:right w:val="single" w:color="000000" w:sz="4"/>
                  </w:tcBorders>
                </w:tcPr>
                <w:p/>
              </w:tc>
              <w:tc>
                <w:tcPr>
                  <w:tcW w:type="dxa" w:w="434"/>
                  <w:vMerge/>
                  <w:tcBorders>
                    <w:top w:val="none" w:color="000000" w:sz="4"/>
                    <w:left w:val="non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负责完成视觉设计工作</w:t>
                  </w:r>
                </w:p>
              </w:tc>
            </w:tr>
            <w:tr>
              <w:tc>
                <w:tcPr>
                  <w:tcW w:type="dxa" w:w="143"/>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标识标志</w:t>
                  </w:r>
                  <w:r>
                    <w:br/>
                  </w:r>
                  <w:r>
                    <w:rPr>
                      <w:rFonts w:ascii="仿宋_GB2312" w:hAnsi="仿宋_GB2312" w:cs="仿宋_GB2312" w:eastAsia="仿宋_GB2312"/>
                      <w:sz w:val="24"/>
                      <w:color w:val="000000"/>
                    </w:rPr>
                    <w:t>制作安装</w:t>
                  </w:r>
                </w:p>
              </w:tc>
              <w:tc>
                <w:tcPr>
                  <w:tcW w:type="dxa" w:w="7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按照标准化视觉识别系统设计制作标识标志并规范化完成安装（明细清单主见标签标识制作和安装表）</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21.标识标志的制作与安装</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材料及制作</w:t>
                  </w:r>
                </w:p>
              </w:tc>
            </w:tr>
            <w:tr>
              <w:tc>
                <w:tcPr>
                  <w:tcW w:type="dxa" w:w="143"/>
                  <w:vMerge/>
                  <w:tcBorders>
                    <w:top w:val="none" w:color="000000" w:sz="4"/>
                    <w:left w:val="singl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766"/>
                  <w:vMerge/>
                  <w:tcBorders>
                    <w:top w:val="none" w:color="000000" w:sz="4"/>
                    <w:left w:val="none" w:color="000000" w:sz="4"/>
                    <w:bottom w:val="single" w:color="000000" w:sz="4"/>
                    <w:right w:val="single" w:color="000000" w:sz="4"/>
                  </w:tcBorders>
                </w:tcPr>
                <w:p/>
              </w:tc>
              <w:tc>
                <w:tcPr>
                  <w:tcW w:type="dxa" w:w="434"/>
                  <w:vMerge/>
                  <w:tcBorders>
                    <w:top w:val="none" w:color="000000" w:sz="4"/>
                    <w:left w:val="none" w:color="000000" w:sz="4"/>
                    <w:bottom w:val="single" w:color="000000" w:sz="4"/>
                    <w:right w:val="single" w:color="000000" w:sz="4"/>
                  </w:tcBorders>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负责政务大厅室内外的标识安装</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硬件采购</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购置</w:t>
                  </w:r>
                  <w:r>
                    <w:rPr>
                      <w:rFonts w:ascii="仿宋_GB2312" w:hAnsi="仿宋_GB2312" w:cs="仿宋_GB2312" w:eastAsia="仿宋_GB2312"/>
                      <w:sz w:val="24"/>
                      <w:color w:val="000000"/>
                    </w:rPr>
                    <w:t>LED大屏</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大屏配置及价格清单请见标签页大屏预算表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264"/>
              <w:gridCol w:w="645"/>
              <w:gridCol w:w="264"/>
              <w:gridCol w:w="347"/>
              <w:gridCol w:w="318"/>
              <w:gridCol w:w="159"/>
              <w:gridCol w:w="159"/>
              <w:gridCol w:w="381"/>
            </w:tblGrid>
            <w:tr>
              <w:tc>
                <w:tcPr>
                  <w:tcW w:type="dxa" w:w="2537"/>
                  <w:gridSpan w:val="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室内</w:t>
                  </w:r>
                  <w:r>
                    <w:rPr>
                      <w:rFonts w:ascii="仿宋_GB2312" w:hAnsi="仿宋_GB2312" w:cs="仿宋_GB2312" w:eastAsia="仿宋_GB2312"/>
                      <w:sz w:val="28"/>
                      <w:b/>
                      <w:color w:val="000000"/>
                    </w:rPr>
                    <w:t>P1.25全彩（</w:t>
                  </w:r>
                  <w:r>
                    <w:rPr>
                      <w:rFonts w:ascii="仿宋_GB2312" w:hAnsi="仿宋_GB2312" w:cs="仿宋_GB2312" w:eastAsia="仿宋_GB2312"/>
                      <w:sz w:val="28"/>
                      <w:b/>
                      <w:color w:val="000000"/>
                    </w:rPr>
                    <w:t>LED大屏</w:t>
                  </w:r>
                  <w:r>
                    <w:rPr>
                      <w:rFonts w:ascii="仿宋_GB2312" w:hAnsi="仿宋_GB2312" w:cs="仿宋_GB2312" w:eastAsia="仿宋_GB2312"/>
                      <w:sz w:val="28"/>
                      <w:b/>
                      <w:color w:val="000000"/>
                    </w:rPr>
                    <w:t>）要求</w:t>
                  </w:r>
                </w:p>
              </w:tc>
            </w:tr>
            <w:tr>
              <w:tc>
                <w:tcPr>
                  <w:tcW w:type="dxa" w:w="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模组排列</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长（张）</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高（张）</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面积</w:t>
                  </w:r>
                  <w:r>
                    <w:rPr>
                      <w:rFonts w:ascii="仿宋_GB2312" w:hAnsi="仿宋_GB2312" w:cs="仿宋_GB2312" w:eastAsia="仿宋_GB2312"/>
                      <w:sz w:val="24"/>
                      <w:color w:val="000000"/>
                    </w:rPr>
                    <w:t>/乘积</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面积</w:t>
                  </w:r>
                  <w:r>
                    <w:rPr>
                      <w:rFonts w:ascii="仿宋_GB2312" w:hAnsi="仿宋_GB2312" w:cs="仿宋_GB2312" w:eastAsia="仿宋_GB2312"/>
                      <w:sz w:val="24"/>
                      <w:color w:val="000000"/>
                    </w:rPr>
                    <w:t>/乘积</w:t>
                  </w:r>
                </w:p>
              </w:tc>
            </w:tr>
            <w:tr>
              <w:tc>
                <w:tcPr>
                  <w:tcW w:type="dxa" w:w="264"/>
                  <w:vMerge/>
                  <w:tcBorders>
                    <w:top w:val="none" w:color="000000" w:sz="4"/>
                    <w:left w:val="single" w:color="000000" w:sz="4"/>
                    <w:bottom w:val="single" w:color="000000" w:sz="4"/>
                    <w:right w:val="single" w:color="000000" w:sz="4"/>
                  </w:tcBorders>
                </w:tcP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135张</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模组尺寸</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0.32米</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0.16米</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0.0512平方米</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净屏尺寸</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2.88米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2.4米</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6.912平方米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256点</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128点</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32768点</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含边尺寸</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2.42米</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7.018平方米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总像素点</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2304点</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1920点</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4423680点</w:t>
                  </w:r>
                </w:p>
              </w:tc>
            </w:tr>
            <w:tr>
              <w:tc>
                <w:tcPr>
                  <w:tcW w:type="dxa" w:w="253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69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53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一、屏体费用</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室内全彩</w:t>
                  </w:r>
                  <w:r>
                    <w:rPr>
                      <w:rFonts w:ascii="仿宋_GB2312" w:hAnsi="仿宋_GB2312" w:cs="仿宋_GB2312" w:eastAsia="仿宋_GB2312"/>
                      <w:sz w:val="24"/>
                      <w:color w:val="000000"/>
                    </w:rPr>
                    <w:t>P1.25模组</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320*160</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6.912</w:t>
                  </w:r>
                </w:p>
              </w:tc>
              <w:tc>
                <w:tcPr>
                  <w:tcW w:type="dxa" w:w="69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含电源、接收卡</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备品</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二、控制系统</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多媒体服务器</w:t>
                  </w:r>
                </w:p>
              </w:tc>
              <w:tc>
                <w:tcPr>
                  <w:tcW w:type="dxa" w:w="264"/>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EG1S</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9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视频处理器</w:t>
                  </w:r>
                </w:p>
              </w:tc>
              <w:tc>
                <w:tcPr>
                  <w:tcW w:type="dxa" w:w="26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三、配电系统</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配电柜</w:t>
                  </w:r>
                </w:p>
              </w:tc>
              <w:tc>
                <w:tcPr>
                  <w:tcW w:type="dxa" w:w="264"/>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9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远程上电</w:t>
                  </w:r>
                </w:p>
              </w:tc>
            </w:tr>
            <w:tr>
              <w:tc>
                <w:tcPr>
                  <w:tcW w:type="dxa" w:w="253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四、工程及安装调试</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结构</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7.018</w:t>
                  </w:r>
                </w:p>
              </w:tc>
              <w:tc>
                <w:tcPr>
                  <w:tcW w:type="dxa" w:w="69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安装调试</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7.018</w:t>
                  </w:r>
                </w:p>
              </w:tc>
              <w:tc>
                <w:tcPr>
                  <w:tcW w:type="dxa" w:w="6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8"/>
                <w:b/>
              </w:rPr>
              <w:t>标识制作和安装表</w:t>
            </w:r>
          </w:p>
          <w:tbl>
            <w:tblPr>
              <w:tblInd w:type="dxa" w:w="90"/>
              <w:tblBorders>
                <w:top w:val="none" w:color="000000" w:sz="4"/>
                <w:left w:val="none" w:color="000000" w:sz="4"/>
                <w:bottom w:val="none" w:color="000000" w:sz="4"/>
                <w:right w:val="none" w:color="000000" w:sz="4"/>
                <w:insideH w:val="none"/>
                <w:insideV w:val="none"/>
              </w:tblBorders>
            </w:tblPr>
            <w:tblGrid>
              <w:gridCol w:w="190"/>
              <w:gridCol w:w="834"/>
              <w:gridCol w:w="786"/>
              <w:gridCol w:w="442"/>
              <w:gridCol w:w="289"/>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7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材料说明</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MM）</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功能区域牌</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5MM亚克力倒边抛光</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300*500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窗口指示牌</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5MM亚克力倒边抛光</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300*700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引导箭头标识</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可移车贴</w:t>
                  </w:r>
                  <w:r>
                    <w:rPr>
                      <w:rFonts w:ascii="仿宋_GB2312" w:hAnsi="仿宋_GB2312" w:cs="仿宋_GB2312" w:eastAsia="仿宋_GB2312"/>
                      <w:sz w:val="24"/>
                      <w:color w:val="000000"/>
                    </w:rPr>
                    <w:t>+地板防滑膜</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600*900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无障碍标识</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5MM亚克力倒边抛光</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300*500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安全出口标识</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10MMPVC+亚克力钢化膜+UV</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600*900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公共设施标识</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5MM亚克力倒边抛光</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200*400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排队叫号系统标识</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10MMPVC+亚克力钢化膜+UV</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300*500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自助服务终端标识</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10MMPVC+亚克力钢化膜+UV</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300*500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物品存放设施标识</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10MMPVC+亚克力钢化膜+UV</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600*900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政务信息宣传栏</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10MMPVC+亚克力钢化膜+UV</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1200*1000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公告栏</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10MMPVC+亚克力钢化膜+UV</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1200*2400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政务文化墙</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10MMPVC+亚克力钢化膜+UV</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1200*3000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地特色展示区</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10MMPVC+亚克力钢化膜+UV</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1200*3000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政务服务标准化主题宣传栏</w:t>
                  </w: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10MMPVC+亚克力钢化膜+UV</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1200*3000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拟投入人员需按甲方要求完成本项目。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质量要求：合格。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在项目成果通过甲方审核验收移交全部资料后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开标当天，所有供应商须向采购代理机构免费提供一正两副（和上传文件保持一致的）纸质投标（响应）文件送至招标代理公司（陕西省西安市曲江新区雁展路1111号莱安中心T7栋1005室）用于备案及档案保存。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供应商资格证明文件.docx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供应商资格证明文件.docx 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分项报价.docx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供应商应提交的相关资格证明材料 标的清单 报价表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供应商名称应与投标文件中营业执照名称一致；</w:t>
            </w:r>
          </w:p>
        </w:tc>
        <w:tc>
          <w:tcPr>
            <w:tcW w:type="dxa" w:w="1661"/>
          </w:tcPr>
          <w:p>
            <w:pPr>
              <w:pStyle w:val="null3"/>
            </w:pPr>
            <w:r>
              <w:rPr>
                <w:rFonts w:ascii="仿宋_GB2312" w:hAnsi="仿宋_GB2312" w:cs="仿宋_GB2312" w:eastAsia="仿宋_GB2312"/>
              </w:rPr>
              <w:t>响应文件封面 服务内容及服务邀请应答表 中小企业声明函 商务应答表 供应商应提交的相关资格证明材料 供应商资格证明文件.docx 报价表 响应函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商务应答表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评审得分相同的，按照最后报价由低到高的顺序推荐。评审得分且最后报价相同的，按照技术方案得分顺序推荐。评审得分且最后报价且技术方案得分均相同的，成交候选供应商并列。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对本项目需求的理解</w:t>
            </w:r>
          </w:p>
        </w:tc>
        <w:tc>
          <w:tcPr>
            <w:tcW w:type="dxa" w:w="2492"/>
          </w:tcPr>
          <w:p>
            <w:pPr>
              <w:pStyle w:val="null3"/>
            </w:pPr>
            <w:r>
              <w:rPr>
                <w:rFonts w:ascii="仿宋_GB2312" w:hAnsi="仿宋_GB2312" w:cs="仿宋_GB2312" w:eastAsia="仿宋_GB2312"/>
              </w:rPr>
              <w:t>对本项目需求的理解：内容包括①对本项目需求的理解；②安全防范措施；③对突发情况的应急预案；④与施工项目工作的配合，前述要求的内容均有描述且符合本项目要求的得10分；每缺少一项要求的方案内容扣2.5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服务方案：①工作内容②工作方法③技术要求等进行综合评审。 (1) 实施方案科学严谨、内容全面详细、符合技术标准要求，计10分； (2) 实施方案科学合理、内容全面但描述不够详细、符合技术标准要求，计8分； (3) 实施方案合理，内容全面性不够（缺①至③中任意一项）但描述详细、符合技术标准要求，计6分； (4)实施方案合理，内容全面性不够（缺①至③中任意一项），有具体描述，符合技术标准要求，计4分 (5)实施方案合理，内容全面性不够（缺①至③中任意二项及以上）描述详细，计2分； (6)实施方案合理，内容全面性不够（缺①至③中任意二项及以上）有具体描述，计1分； (7)实施方案只有标题但内容简略或不具备可操作性或不提供，此项不得分。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质量保证措施：供应商制定针对本项目的质量保证方案，内容包括但不限于①质量管理体系②质量保障措施③质量控制手段等。 1.质量保证方案全面详细，目标明确，科学合理、针对性强，计10分； 2.质量保证方案全面但描述不够详细，目标明确，科学合理、针对性强，计7分； 3.质量保证方案全面性不够（缺①至③中任意一项）但描述详细，针对性强，计5分； 4.质量保证方案全面性不够（缺①至③中任意一项）有具体描述，计3分； 5.质量保证方案全面性不够（缺①至③中任意二项及以上）但描述详细，计1分； 6.方案只有标题但内容简略或不具备可操作性或不提供，此项不得分。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进度计划措施</w:t>
            </w:r>
          </w:p>
        </w:tc>
        <w:tc>
          <w:tcPr>
            <w:tcW w:type="dxa" w:w="2492"/>
          </w:tcPr>
          <w:p>
            <w:pPr>
              <w:pStyle w:val="null3"/>
            </w:pPr>
            <w:r>
              <w:rPr>
                <w:rFonts w:ascii="仿宋_GB2312" w:hAnsi="仿宋_GB2312" w:cs="仿宋_GB2312" w:eastAsia="仿宋_GB2312"/>
              </w:rPr>
              <w:t>进度计划措施：内容包含于①进度计划安排②进度计划保证措施等进行综合评审。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对项目关键性技术问题的识别及解决方案</w:t>
            </w:r>
          </w:p>
        </w:tc>
        <w:tc>
          <w:tcPr>
            <w:tcW w:type="dxa" w:w="2492"/>
          </w:tcPr>
          <w:p>
            <w:pPr>
              <w:pStyle w:val="null3"/>
            </w:pPr>
            <w:r>
              <w:rPr>
                <w:rFonts w:ascii="仿宋_GB2312" w:hAnsi="仿宋_GB2312" w:cs="仿宋_GB2312" w:eastAsia="仿宋_GB2312"/>
              </w:rPr>
              <w:t>对项目关键性技术问题的识别及解决方案：提出针对本项目实施过程中的关键性问题，并给出解决方案。 1。内容科学全面、针对性强，解决思路可行性强，计10分； 2.内容全面、针对性强，解决思路可行性强，计7分； 3.内容考虑不全面，解决思路可行，计4分；4.内容考虑不全面、解决思路不全或不可行，计1分。 5.方案只有标题但内容简略或不具备可操作性或不提供，此项不得分。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资料管理制度</w:t>
            </w:r>
          </w:p>
        </w:tc>
        <w:tc>
          <w:tcPr>
            <w:tcW w:type="dxa" w:w="2492"/>
          </w:tcPr>
          <w:p>
            <w:pPr>
              <w:pStyle w:val="null3"/>
            </w:pPr>
            <w:r>
              <w:rPr>
                <w:rFonts w:ascii="仿宋_GB2312" w:hAnsi="仿宋_GB2312" w:cs="仿宋_GB2312" w:eastAsia="仿宋_GB2312"/>
              </w:rPr>
              <w:t>资料管理制度：评审内容：①资料管理制度②实施过程资料、成果文件等相关资料移交方案。前述要求的内容均有描述且符合本项目要求的得6分；评审标准:每缺少一项要求的方案内容扣3分，扣完为止；每有一项要求的方案内容有一处缺陷的（缺陷是指：内容描述过于简单、条理不清晰、与项目内容不匹配、凭空编造、出常识性错误、不可能实现的夸大情形、存在不适用项目实际情况的情形等）有一处扣1.5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1、项目人员配备每提供一个技术人员得2分，满分12分；未提供不得分；（需提供技术人员相关专业证书）。 2、项目负责人具备中级及以上职称得3分；未提供不得分； 注：以上人员须提供相关证书复印件。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针对本项目提供服务承诺，内容包括但不限于①售后服务机构②售后服务保障措施等。 1.承诺内容全面，描述详细，可行性强，计8分； 2.承诺内容全面，描述不够详细，计4分； 3.承诺内容有所欠缺（缺①②项中任意一项），描述粗略，计1分；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供应商提供2022年1月至今同类项目业绩，业绩以合同或中标( 成交）通知书为依据，响应文件中附有其证明资料，每提供一个业绩证明计2.5分。满分5分。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报价为评标基准价，其价格分为满分。其他投标供应商的价格分统一按照下列公式计算：投标报价得分=(基准价／投标报价)×价格权值×100；计算分数时四舍五入取小数点后两位；评委会二分之一以上专家认为某投标报价有低于成本价嫌疑的，为无效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