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版本号：DHJC2025-ZC-CS01320250603001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广济镇北留村猕猴桃生产路硬化项目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DHJC2025-ZC-CS013</w:t>
      </w:r>
      <w:r>
        <w:br/>
      </w:r>
      <w:r>
        <w:br/>
      </w:r>
      <w:r>
        <w:br/>
      </w:r>
    </w:p>
    <w:p>
      <w:pPr>
        <w:pStyle w:val="null3"/>
        <w:jc w:val="center"/>
        <w:outlineLvl w:val="2"/>
      </w:pPr>
      <w:r>
        <w:rPr>
          <w:rFonts w:ascii="仿宋_GB2312" w:hAnsi="仿宋_GB2312" w:cs="仿宋_GB2312" w:eastAsia="仿宋_GB2312"/>
          <w:sz w:val="28"/>
          <w:b/>
        </w:rPr>
        <w:t>西安市周至县农业综合开发服务中心</w:t>
      </w:r>
    </w:p>
    <w:p>
      <w:pPr>
        <w:pStyle w:val="null3"/>
        <w:jc w:val="center"/>
        <w:outlineLvl w:val="2"/>
      </w:pPr>
      <w:r>
        <w:rPr>
          <w:rFonts w:ascii="仿宋_GB2312" w:hAnsi="仿宋_GB2312" w:cs="仿宋_GB2312" w:eastAsia="仿宋_GB2312"/>
          <w:sz w:val="28"/>
          <w:b/>
        </w:rPr>
        <w:t>陕西鼎汇嘉诚项目管理有限公司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陕西鼎汇嘉诚项目管理有限公司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西安市周至县农业综合开发服务中心</w:t>
      </w:r>
      <w:r>
        <w:rPr>
          <w:rFonts w:ascii="仿宋_GB2312" w:hAnsi="仿宋_GB2312" w:cs="仿宋_GB2312" w:eastAsia="仿宋_GB2312"/>
        </w:rPr>
        <w:t>委托，拟对</w:t>
      </w:r>
      <w:r>
        <w:rPr>
          <w:rFonts w:ascii="仿宋_GB2312" w:hAnsi="仿宋_GB2312" w:cs="仿宋_GB2312" w:eastAsia="仿宋_GB2312"/>
        </w:rPr>
        <w:t>广济镇北留村猕猴桃生产路硬化项目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DHJC2025-ZC-CS013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广济镇北留村猕猴桃生产路硬化项目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磋商文件及工程量清单范围内的全部工作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采购包1（广济镇北留村猕猴桃生产路硬化项目）：属于专门面向中小企业采购。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1、法定代表人授权书或法定代表人身份证明：提供法定代表人授权书（附法定代表人及被授权人身份证复印件）；法定代表人直接参加投标，须提供法定代表人身份证明</w:t>
      </w:r>
    </w:p>
    <w:p>
      <w:pPr>
        <w:pStyle w:val="null3"/>
      </w:pPr>
      <w:r>
        <w:rPr>
          <w:rFonts w:ascii="仿宋_GB2312" w:hAnsi="仿宋_GB2312" w:cs="仿宋_GB2312" w:eastAsia="仿宋_GB2312"/>
        </w:rPr>
        <w:t>2、企业资质：供应商须具备行业主管部门颁发的市政公用工程施工总承包三级（含三级）及以上资质并具有有效的安全生产许可证</w:t>
      </w:r>
    </w:p>
    <w:p>
      <w:pPr>
        <w:pStyle w:val="null3"/>
      </w:pPr>
      <w:r>
        <w:rPr>
          <w:rFonts w:ascii="仿宋_GB2312" w:hAnsi="仿宋_GB2312" w:cs="仿宋_GB2312" w:eastAsia="仿宋_GB2312"/>
        </w:rPr>
        <w:t>3、项目经理资质：供应商拟派项目经理须具备行业主管部门颁发的市政公用工程专业二级（含二级）及以上注册建造师资格及有效的安全生产考核合格证书（B证），在供应商单位注册，且无在建项目（提供项目经理无在建承诺书）</w:t>
      </w:r>
    </w:p>
    <w:p>
      <w:pPr>
        <w:pStyle w:val="null3"/>
      </w:pPr>
      <w:r>
        <w:rPr>
          <w:rFonts w:ascii="仿宋_GB2312" w:hAnsi="仿宋_GB2312" w:cs="仿宋_GB2312" w:eastAsia="仿宋_GB2312"/>
        </w:rPr>
        <w:t>4、信用记录：供应商未被“信用中国”网站（www.creditchina.gov.cn）列入失信被执行人和重大税收违法失信主体，未被中国政府采购网（www.ccgp.gov.cn）列入政府采购严重违法失信行为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西安市周至县农业综合开发服务中心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周至县城仙游路2号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029-87115990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陕西鼎汇嘉诚项目管理有限公司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西安市高新区高新三路西高智能大厦10楼1011室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18791915545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采购包1：1,366,300.00元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执行，下浮10%计算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西安市周至县农业综合开发服务中心</w:t>
      </w:r>
      <w:r>
        <w:rPr>
          <w:rFonts w:ascii="仿宋_GB2312" w:hAnsi="仿宋_GB2312" w:cs="仿宋_GB2312" w:eastAsia="仿宋_GB2312"/>
        </w:rPr>
        <w:t>和</w:t>
      </w:r>
      <w:r>
        <w:rPr>
          <w:rFonts w:ascii="仿宋_GB2312" w:hAnsi="仿宋_GB2312" w:cs="仿宋_GB2312" w:eastAsia="仿宋_GB2312"/>
        </w:rPr>
        <w:t>陕西鼎汇嘉诚项目管理有限公司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西安市周至县农业综合开发服务中心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陕西鼎汇嘉诚项目管理有限公司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西安市周至县农业综合开发服务中心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陕西鼎汇嘉诚项目管理有限公司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联系人：陈工</w:t>
      </w:r>
    </w:p>
    <w:p>
      <w:pPr>
        <w:pStyle w:val="null3"/>
      </w:pPr>
      <w:r>
        <w:rPr>
          <w:rFonts w:ascii="仿宋_GB2312" w:hAnsi="仿宋_GB2312" w:cs="仿宋_GB2312" w:eastAsia="仿宋_GB2312"/>
        </w:rPr>
        <w:t>联系电话：18791915545</w:t>
      </w:r>
    </w:p>
    <w:p>
      <w:pPr>
        <w:pStyle w:val="null3"/>
      </w:pPr>
      <w:r>
        <w:rPr>
          <w:rFonts w:ascii="仿宋_GB2312" w:hAnsi="仿宋_GB2312" w:cs="仿宋_GB2312" w:eastAsia="仿宋_GB2312"/>
        </w:rPr>
        <w:t>地址：西安市高新区高新三路西高智能大厦10楼1011室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1,366,300.00</w:t>
      </w:r>
    </w:p>
    <w:p>
      <w:pPr>
        <w:pStyle w:val="null3"/>
      </w:pPr>
      <w:r>
        <w:rPr>
          <w:rFonts w:ascii="仿宋_GB2312" w:hAnsi="仿宋_GB2312" w:cs="仿宋_GB2312" w:eastAsia="仿宋_GB2312"/>
        </w:rPr>
        <w:t>采购包最高限价（元）: 1,366,300.00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广济镇北留村猕猴桃生产路硬化项目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1,366,300.00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标的名称：广济镇北留村猕猴桃生产路硬化项目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rPr>
              <w:t>工期：</w:t>
            </w:r>
            <w:r>
              <w:rPr>
                <w:rFonts w:ascii="仿宋_GB2312" w:hAnsi="仿宋_GB2312" w:cs="仿宋_GB2312" w:eastAsia="仿宋_GB2312"/>
                <w:sz w:val="22"/>
              </w:rPr>
              <w:t>120日历天</w:t>
            </w:r>
          </w:p>
          <w:p>
            <w:pPr>
              <w:pStyle w:val="null3"/>
              <w:jc w:val="left"/>
            </w:pPr>
            <w:r>
              <w:rPr>
                <w:rFonts w:ascii="仿宋_GB2312" w:hAnsi="仿宋_GB2312" w:cs="仿宋_GB2312" w:eastAsia="仿宋_GB2312"/>
                <w:sz w:val="22"/>
              </w:rPr>
              <w:t>工程地点：采购人指定地点</w:t>
            </w:r>
          </w:p>
          <w:p>
            <w:pPr>
              <w:pStyle w:val="null3"/>
              <w:jc w:val="left"/>
            </w:pPr>
            <w:r>
              <w:rPr>
                <w:rFonts w:ascii="仿宋_GB2312" w:hAnsi="仿宋_GB2312" w:cs="仿宋_GB2312" w:eastAsia="仿宋_GB2312"/>
                <w:sz w:val="22"/>
              </w:rPr>
              <w:t>工程范围：磋商文件及工程量清单范围内的全部工作</w:t>
            </w:r>
          </w:p>
          <w:p>
            <w:pPr>
              <w:pStyle w:val="null3"/>
              <w:jc w:val="left"/>
            </w:pPr>
            <w:r>
              <w:rPr>
                <w:rFonts w:ascii="仿宋_GB2312" w:hAnsi="仿宋_GB2312" w:cs="仿宋_GB2312" w:eastAsia="仿宋_GB2312"/>
                <w:sz w:val="22"/>
              </w:rPr>
              <w:t>质量标准：符合国家现行有关施工质量验收规范</w:t>
            </w:r>
            <w:r>
              <w:rPr>
                <w:rFonts w:ascii="仿宋_GB2312" w:hAnsi="仿宋_GB2312" w:cs="仿宋_GB2312" w:eastAsia="仿宋_GB2312"/>
                <w:sz w:val="22"/>
              </w:rPr>
              <w:t>“合格”要求标准</w:t>
            </w:r>
          </w:p>
          <w:p>
            <w:pPr>
              <w:pStyle w:val="null3"/>
              <w:jc w:val="left"/>
            </w:pPr>
            <w:r>
              <w:rPr>
                <w:rFonts w:ascii="仿宋_GB2312" w:hAnsi="仿宋_GB2312" w:cs="仿宋_GB2312" w:eastAsia="仿宋_GB2312"/>
                <w:sz w:val="22"/>
                <w:shd w:fill="FFFFFF" w:val="clear"/>
              </w:rPr>
              <w:t>付款方式：</w:t>
            </w:r>
            <w:r>
              <w:rPr>
                <w:rFonts w:ascii="仿宋_GB2312" w:hAnsi="仿宋_GB2312" w:cs="仿宋_GB2312" w:eastAsia="仿宋_GB2312"/>
                <w:sz w:val="22"/>
                <w:shd w:fill="FFFFFF" w:val="clear"/>
              </w:rPr>
              <w:t>(1)预付款支付：合同签订后1个月内，乙方进驻施工现场开工后，达到付款条件起20日内，支付合同总金额的30.00%；</w:t>
            </w:r>
          </w:p>
          <w:p>
            <w:pPr>
              <w:pStyle w:val="null3"/>
              <w:jc w:val="left"/>
            </w:pPr>
            <w:r>
              <w:rPr>
                <w:rFonts w:ascii="仿宋_GB2312" w:hAnsi="仿宋_GB2312" w:cs="仿宋_GB2312" w:eastAsia="仿宋_GB2312"/>
                <w:sz w:val="22"/>
                <w:shd w:fill="FFFFFF" w:val="clear"/>
              </w:rPr>
              <w:t>(2)工程进度款的支付：按照工程施工进度，经发包方会同监理核定工程量后，上报工程进度款支付的相关资料，并经监理及发包方审核审批后，项目资金下达后，达到付款条件起60日内，支付合同总金额的50.00%；</w:t>
            </w:r>
          </w:p>
          <w:p>
            <w:pPr>
              <w:pStyle w:val="null3"/>
              <w:jc w:val="both"/>
            </w:pPr>
            <w:r>
              <w:rPr>
                <w:rFonts w:ascii="仿宋_GB2312" w:hAnsi="仿宋_GB2312" w:cs="仿宋_GB2312" w:eastAsia="仿宋_GB2312"/>
                <w:sz w:val="22"/>
                <w:shd w:fill="FFFFFF" w:val="clear"/>
              </w:rPr>
              <w:t>(3)工程完工工程款的支付：按照完工工程量据实结算，经审计部门对工程量进行结算审核后，支付至工程量结算审定金额，项目资金下达后，达到付款条件起60日内，支付合同总金额的20.00%。</w:t>
            </w:r>
          </w:p>
          <w:p>
            <w:pPr>
              <w:pStyle w:val="null3"/>
              <w:jc w:val="both"/>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符合国家现行有关施工质量验收规范“合格”要求标准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（1）本工程采用招标控制价电子版本：天宇e算陕西省水利水电工程造价软件版本V1.2.6。 （2）若工程量清单与图纸存在不一致，以工程量清单为准。 （3）成交单位在领取成交通知书前，须向采购代理机构提供纸质版响应文件3套（1正2副），且提供的响应文件必须与在陕西省政府采购综合管理平台的项目电子化交易系统中递交的电子响应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供应商需在项目电子化交易系统中按要求填写《响应函》完成承诺并进行电子签章，同时提供以下资料： 1.提供合格有效的法人或者其他组织的营业执照等证明文件，自然人的身份证明（供应商是法人或其他组织的应提供营业执照等证明文件，供应商是自然人的应提供有效的自然人身份证明）； 2.提2023年度或2024年度经审计的财务报告（包括审计报告、资产负债表、利润表、现金流量表、所有者权益变动表（没有可不提供）及附注，成立时间至提交投标文件截止时间不足一年的可提供成立后任意时段的资产负债表），或基本存款账户开户银行出具的资信证明及基本存款账户信息（以上两种形式的资料提供任何一种即可）； 3.提供具有履行合同所必需的设备和专业技术能力的承诺； 4.提供投标文件递交截止时间前一年内已缴纳的至少一个月的纳税证明或完税证明（增值税、营业税、企业所得税至少提供一种），纳税证明或完税证明上应有代收机构或税务机关的公章或业务专用章，依法免税的供应商应提供相应证明文件； 5.提供投标文件递交截止时间前一年内已缴存的至少一个月的社会保障资金缴存单据或社保机构开具的社会保险参保缴费情况证明，依法不需要缴纳社会保障资金的供应商应提供相应证明文件；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投标方案.docx 响应函 资格证明文件.docx 陕西省政府采购供应商拒绝政府采购领域商业贿赂承诺书.docx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供应商需在项目电子化交易系统中上传2023年度或2024年度经审计的财务报告（包括审计报告、资产负债表、利润表、现金流量表、所有者权益变动表（没有可不提供）及附注，成立时间至提交投标文件截止时间不足一年的可提供成立后任意时段的资产负债表），或基本存款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提供法定代表人授权书（附法定代表人及被授权人身份证复印件）；法定代表人直接参加投标，须提供法定代表人身份证明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供应商须具备行业主管部门颁发的市政公用工程施工总承包三级（含三级）及以上资质并具有有效的安全生产许可证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供应商拟派项目经理须具备行业主管部门颁发的市政公用工程专业二级（含二级）及以上注册建造师资格及有效的安全生产考核合格证书（B证），在供应商单位注册，且无在建项目（提供项目经理无在建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磋商响应文件上法定代表人或其授权代表人按要求签字，加盖公章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报价唯一，未超预算</w:t>
            </w:r>
          </w:p>
        </w:tc>
        <w:tc>
          <w:tcPr>
            <w:tcW w:type="dxa" w:w="3322"/>
          </w:tcPr>
          <w:p>
            <w:pPr>
              <w:pStyle w:val="null3"/>
            </w:pPr>
            <w:r>
              <w:rPr>
                <w:rFonts w:ascii="仿宋_GB2312" w:hAnsi="仿宋_GB2312" w:cs="仿宋_GB2312" w:eastAsia="仿宋_GB2312"/>
              </w:rPr>
              <w:t>应满足磋商文件中要求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应满足磋商文件中要求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成本目标、工期目标、质量目标②施工准备：技术准备、材料准备③施工平面布置与安排：现场围挡及收入口管理、交通组织安排、消防及道路安排。 二、评审标准 1、完整性：方案必须全面，对评审内容中的各项要求有详细描述； 2、可实施性：切合本项目实际情况，提出步骤清晰、合理的方案； 3、针对性：方案能够紧扣项目实际情况，内容科学合理。 三、赋分标准（满分9分） ①施工目标：每完全满足一个评审标准得1分，满分3分； ②施工准备：每完全满足一个评审标准得1分，满分3分；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供应商针对本项目编制完善的施工进度计划，内容包含：①施工进度计划横道图②进度计划保证措施③工期保证措施。 二、评审标准 1、完整性：方案必须全面，对评审内容中的各项要求有详细描述； 2、可实施性：切合本项目实际情况，提出步骤清晰、合理的方案； 3、针对性：方案能够紧扣项目实际情况，内容科学合理。 三、赋分标准（满分9分） ①施工进度计划图：每完全满足一个评审标准得1分，满分3分； ②进度计划保证措施：每完全满足一个评审标准得1分，满分3分； ③工期保证措施：每完全满足一个评审标准得1分，满分3分。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供应商针对本项目编制完善的施工方案内容包含：①工程重难点及解决措施②工程施工方法③施工质量通病防治措施。 二、评审标准 1、完整性：方案必须全面，对评审内容中的各项要求有详细描述； 2、可实施性：切合本项目实际情况，提出步骤清晰、合理的方案； 3、针对性：方案能够紧扣项目实际情况，内容科学合理。 三、赋分标准（15分） ①工程重难点及解决措施：每完全满足一个评审标准得2分，满分6分； ②工程施工方法：每完全满足一个评审标准得2分，满分6分； ③施工质量通病防治措施：每完全满足一个评审标准得1分，满分3分。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供应商针对本项目编制完善的质量保证措施，内容包含：①质量目标管理体系②施工质量的检验制度③确保质量的技术组织措施④施工质量控制措施。 二、评审标准 1、完整性：方案必须全面，对评审内容中的各项要求有详细描述； 2、可实施性：切合本项目实际情况，提出步骤清晰、合理的方案； 3、针对性：方案能够紧扣项目实际情况，内容科学合理。 三、赋分标准（满分6分） ①质量目标管理体系：每完全满足一个评审标准得0.5分，满分1.5分； ②施工质量检验制度：每完全满足一个评审标准得0.5分，满分1.5分； ③确保质量的技术组织措施：每完全满足一个评审标准得0.5分，满分1.5分； ④施工质量控制措施：每完全满足一个评审标准得0.5分，满分1.5分。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一、评审内容 供应商针对本项目编制完整的安全施工措施，内容包含：①安全生产管理制度②安全施工措施③安全应急预案④安全生产教育。 二、评审标准 1、完整性：方案必须全面，对评审内容中的各项要求有详细描述； 2、可实施性：切合本项目实际情况，提出步骤清晰、合理的方案； 3、针对性：方案能够紧扣项目实际情况，内容科学合理。 三、赋分标准（满分6分） ①安全生产管理制度：每完全满足一个评审标准得0.5分，满分1.5分； ②安全施工措施：每完全满足一个评审标准得0.5分，满分1.5分； ③安全应急预案：每完全满足一个评审标准得0.5分，满分1.5分； ④安全生产教育：每完全满足一个评审标准得0.5分，满分1.5分。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供应商针对本项目编制科学的项目管理机构，内容包含：①管理机构的配备计划及管理人员证书②组织机构的岗位职责。 二、评审标准 1、完整性：方案必须全面，对评审内容中的各项要求有详细描述； 2、可实施性：切合本项目实际情况，提出步骤清晰、合理的方案； 3、针对性：方案能够紧扣项目实际情况，内容科学合理。 三、赋分标准（满分12分） ①管理机构的配备计划：每完全满足一个评审标准得2分，满分6分； ②组织机构的岗位职责：每完全满足一个评审标准得2分，满分6分。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一、评审内容 针对本项目具有①新材料②新技术和新工艺的应用情况。 二、评审标准 1、完整性：方案必须全面，对评审内容中的各项要求有详细描述； 2、可实施性：切合本项目实际情况，提出步骤清晰、合理的方案； 3、针对性：方案能够紧扣项目实际情况，内容科学合理。 三、赋分标准（满分3分） ①新材料：每完全满足一个评审标准得0.5分，满分1.5分； ②新技术和新工艺：每完全满足一个评审标准得0.5分，满分1.5分。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针对本项目作出合理有效的工程施工承诺（主要体现不得拖欠施工人员工资、给施工人员缴纳保险、降低工程造价等），每提供1条得2分，满分4分；不提供不得分。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供应商提供2022年5月1日起至今的类似业绩证明材料，时间以合同签订日期为准，（文件中附合同复印件），每提供一项上述业绩的得2分，最高得6分。不提供或缺项不得分。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价格分统一采用低价优先法计算，即满足磋商文件要求且最后磋商报价最低的供应商的价格为磋商基准价，其价格分为满分。其他供应商的价格分统一按照下列公式计算： 磋商报价得分=(磋商基准价／最后磋商报价)×价格分值 计算分数时四舍五入取小数点后两位。 注：磋商小组三分之二以上人员认为某最后磋商报价有低于成本价嫌疑的，该报价为无效报价。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