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版本号：QH2025-CS-03620250603001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富仁镇永丰村苗木、猕猴桃生产路硬化项目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QH2025-CS-036</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富仁镇永丰村苗木、猕猴桃生产路硬化项目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富仁镇永丰村苗木、猕猴桃生产路硬化项目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富仁镇永丰村苗木、猕猴桃生产路硬化项目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采购包1（富仁镇永丰村苗木、猕猴桃生产路硬化项目）：属于专门面向中小企业采购。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796,900.00</w:t>
      </w:r>
    </w:p>
    <w:p>
      <w:pPr>
        <w:pStyle w:val="null3"/>
      </w:pPr>
      <w:r>
        <w:rPr>
          <w:rFonts w:ascii="仿宋_GB2312" w:hAnsi="仿宋_GB2312" w:cs="仿宋_GB2312" w:eastAsia="仿宋_GB2312"/>
        </w:rPr>
        <w:t>采购包最高限价（元）: 796,900.00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富仁镇永丰村苗木、猕猴桃生产路硬化项目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796,900.00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标的名称：富仁镇永丰村苗木、猕猴桃生产路硬化项目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18"/>
              </w:rPr>
              <w:t>1、</w:t>
            </w:r>
            <w:r>
              <w:rPr>
                <w:rFonts w:ascii="仿宋_GB2312" w:hAnsi="仿宋_GB2312" w:cs="仿宋_GB2312" w:eastAsia="仿宋_GB2312"/>
                <w:sz w:val="18"/>
              </w:rPr>
              <w:t>施工范围</w:t>
            </w:r>
            <w:r>
              <w:rPr>
                <w:rFonts w:ascii="仿宋_GB2312" w:hAnsi="仿宋_GB2312" w:cs="仿宋_GB2312" w:eastAsia="仿宋_GB2312"/>
                <w:sz w:val="18"/>
              </w:rPr>
              <w:t>:工程量清单及施工图纸全部内容</w:t>
            </w:r>
            <w:r>
              <w:br/>
            </w:r>
            <w:r>
              <w:rPr>
                <w:rFonts w:ascii="仿宋_GB2312" w:hAnsi="仿宋_GB2312" w:cs="仿宋_GB2312" w:eastAsia="仿宋_GB2312"/>
                <w:sz w:val="18"/>
              </w:rPr>
              <w:t>2、</w:t>
            </w:r>
            <w:r>
              <w:rPr>
                <w:rFonts w:ascii="仿宋_GB2312" w:hAnsi="仿宋_GB2312" w:cs="仿宋_GB2312" w:eastAsia="仿宋_GB2312"/>
                <w:sz w:val="18"/>
              </w:rPr>
              <w:t>工期</w:t>
            </w:r>
            <w:r>
              <w:rPr>
                <w:rFonts w:ascii="仿宋_GB2312" w:hAnsi="仿宋_GB2312" w:cs="仿宋_GB2312" w:eastAsia="仿宋_GB2312"/>
                <w:sz w:val="18"/>
              </w:rPr>
              <w:t>:自合同签订之日起120日历天</w:t>
            </w:r>
            <w:r>
              <w:br/>
            </w:r>
            <w:r>
              <w:rPr>
                <w:rFonts w:ascii="仿宋_GB2312" w:hAnsi="仿宋_GB2312" w:cs="仿宋_GB2312" w:eastAsia="仿宋_GB2312"/>
                <w:sz w:val="18"/>
              </w:rPr>
              <w:t>3、</w:t>
            </w:r>
            <w:r>
              <w:rPr>
                <w:rFonts w:ascii="仿宋_GB2312" w:hAnsi="仿宋_GB2312" w:cs="仿宋_GB2312" w:eastAsia="仿宋_GB2312"/>
                <w:sz w:val="18"/>
              </w:rPr>
              <w:t>质量标准</w:t>
            </w:r>
            <w:r>
              <w:rPr>
                <w:rFonts w:ascii="仿宋_GB2312" w:hAnsi="仿宋_GB2312" w:cs="仿宋_GB2312" w:eastAsia="仿宋_GB2312"/>
                <w:sz w:val="18"/>
              </w:rPr>
              <w:t>:符合国家现行有关施工质量验收规范“合格”要求标准</w:t>
            </w:r>
            <w:r>
              <w:br/>
            </w:r>
            <w:r>
              <w:rPr>
                <w:rFonts w:ascii="仿宋_GB2312" w:hAnsi="仿宋_GB2312" w:cs="仿宋_GB2312" w:eastAsia="仿宋_GB2312"/>
                <w:sz w:val="18"/>
              </w:rPr>
              <w:t>4、</w:t>
            </w:r>
            <w:r>
              <w:rPr>
                <w:rFonts w:ascii="仿宋_GB2312" w:hAnsi="仿宋_GB2312" w:cs="仿宋_GB2312" w:eastAsia="仿宋_GB2312"/>
                <w:sz w:val="18"/>
              </w:rPr>
              <w:t>其他需说明的事项</w:t>
            </w:r>
            <w:r>
              <w:rPr>
                <w:rFonts w:ascii="仿宋_GB2312" w:hAnsi="仿宋_GB2312" w:cs="仿宋_GB2312" w:eastAsia="仿宋_GB2312"/>
                <w:sz w:val="18"/>
              </w:rPr>
              <w:t>:</w:t>
            </w:r>
          </w:p>
          <w:p>
            <w:pPr>
              <w:pStyle w:val="null3"/>
              <w:spacing w:before="105" w:after="105"/>
              <w:jc w:val="left"/>
            </w:pPr>
            <w:r>
              <w:rPr>
                <w:rFonts w:ascii="仿宋_GB2312" w:hAnsi="仿宋_GB2312" w:cs="仿宋_GB2312" w:eastAsia="仿宋_GB2312"/>
                <w:sz w:val="18"/>
              </w:rPr>
              <w:t>1）</w:t>
            </w:r>
            <w:r>
              <w:rPr>
                <w:rFonts w:ascii="仿宋_GB2312" w:hAnsi="仿宋_GB2312" w:cs="仿宋_GB2312" w:eastAsia="仿宋_GB2312"/>
                <w:sz w:val="18"/>
              </w:rPr>
              <w:t>本工程采用招标控制价电子版本</w:t>
            </w:r>
            <w:r>
              <w:rPr>
                <w:rFonts w:ascii="仿宋_GB2312" w:hAnsi="仿宋_GB2312" w:cs="仿宋_GB2312" w:eastAsia="仿宋_GB2312"/>
                <w:sz w:val="18"/>
              </w:rPr>
              <w:t>:天宇e算陕西省水利水电工程造价软件版本V1.2.6。</w:t>
            </w:r>
          </w:p>
          <w:p>
            <w:pPr>
              <w:pStyle w:val="null3"/>
              <w:spacing w:before="105" w:after="105"/>
              <w:jc w:val="left"/>
            </w:pPr>
            <w:r>
              <w:rPr>
                <w:rFonts w:ascii="仿宋_GB2312" w:hAnsi="仿宋_GB2312" w:cs="仿宋_GB2312" w:eastAsia="仿宋_GB2312"/>
                <w:sz w:val="18"/>
              </w:rPr>
              <w:t>2）</w:t>
            </w:r>
            <w:r>
              <w:rPr>
                <w:rFonts w:ascii="仿宋_GB2312" w:hAnsi="仿宋_GB2312" w:cs="仿宋_GB2312" w:eastAsia="仿宋_GB2312"/>
                <w:sz w:val="18"/>
              </w:rPr>
              <w:t>若工程量清单与图纸存在不一致，以工程量清单为准。</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 ①施工目标:成本目标、工期目标、质量目标 ②施工准备：技术准备、材料准备 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