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版本号：HYGH2025-ZCCS-031620250530001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2025年中央财政林业草原生态保护恢复资金国家重点野生动植物保护（秦岭川金丝猴保护与监测）项目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HYGH2025-ZCCS-0316</w:t>
      </w:r>
      <w:r>
        <w:br/>
      </w:r>
      <w:r>
        <w:br/>
      </w:r>
      <w:r>
        <w:br/>
      </w:r>
    </w:p>
    <w:p>
      <w:pPr>
        <w:pStyle w:val="null3"/>
        <w:jc w:val="center"/>
        <w:outlineLvl w:val="2"/>
      </w:pPr>
      <w:r>
        <w:rPr>
          <w:rFonts w:ascii="仿宋_GB2312" w:hAnsi="仿宋_GB2312" w:cs="仿宋_GB2312" w:eastAsia="仿宋_GB2312"/>
          <w:sz w:val="28"/>
          <w:b/>
        </w:rPr>
        <w:t>西安市周至县国有永红生态林场</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西安市周至县国有永红生态林场</w:t>
      </w:r>
      <w:r>
        <w:rPr>
          <w:rFonts w:ascii="仿宋_GB2312" w:hAnsi="仿宋_GB2312" w:cs="仿宋_GB2312" w:eastAsia="仿宋_GB2312"/>
        </w:rPr>
        <w:t>委托，拟对</w:t>
      </w:r>
      <w:r>
        <w:rPr>
          <w:rFonts w:ascii="仿宋_GB2312" w:hAnsi="仿宋_GB2312" w:cs="仿宋_GB2312" w:eastAsia="仿宋_GB2312"/>
        </w:rPr>
        <w:t>2025年中央财政林业草原生态保护恢复资金国家重点野生动植物保护（秦岭川金丝猴保护与监测）项目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HYGH2025-ZCCS-0316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2025年中央财政林业草原生态保护恢复资金国家重点野生动植物保护（秦岭川金丝猴保护与监测）项目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国家重点野生动植物保护（秦岭川金丝猴保护与监测）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3、财务审计报告：提供2023年度或2024年度完整的财务审计报告或开标时间前六个月内银行出具的资信证明；</w:t>
      </w:r>
    </w:p>
    <w:p>
      <w:pPr>
        <w:pStyle w:val="null3"/>
      </w:pPr>
      <w:r>
        <w:rPr>
          <w:rFonts w:ascii="仿宋_GB2312" w:hAnsi="仿宋_GB2312" w:cs="仿宋_GB2312" w:eastAsia="仿宋_GB2312"/>
        </w:rPr>
        <w:t>4、纳税证明：提供磋商截止日前近一年内至少一个月的纳税证明或完税证明，依法免税的单位应提供相关证明材料；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5、社会保险参保缴费情况证明：提供磋商截止日前近一年内至少一个月的社会保障资金缴存单据或社保机构开具的社会保险参保缴费情况证明，依法不需要缴纳社会保障资金的单位应提供相关证明材料；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6、相关主体信用记录查询：供应商应通过“信用中国”网站(www.creditchina.gov.cn)、中国政府采购网(www.ccgp.gov.cn) 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西安市周至县国有永红生态林场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周至县广济镇北大坪村南新街169号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刘满红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13572008123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西安市周至县国有永红生态林场</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西安市周至县国有永红生态林场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西安市周至县国有永红生态林场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秦岭川金丝猴保护与监测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336,000.00</w:t>
      </w:r>
    </w:p>
    <w:p>
      <w:pPr>
        <w:pStyle w:val="null3"/>
      </w:pPr>
      <w:r>
        <w:rPr>
          <w:rFonts w:ascii="仿宋_GB2312" w:hAnsi="仿宋_GB2312" w:cs="仿宋_GB2312" w:eastAsia="仿宋_GB2312"/>
        </w:rPr>
        <w:t>采购包最高限价（元）: 336,000.00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2025年中央财政林业草原生态保护恢复资金国家重点野生动植物保护（秦岭川金丝猴保护与监测）项目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标的名称：2025年中央财政林业草原生态保护恢复资金国家重点野生动植物保护（秦岭川金丝猴保护与监测）项目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一、服务内容</w:t>
            </w:r>
          </w:p>
          <w:tbl>
            <w:tblPr>
              <w:tblBorders>
                <w:top w:val="none" w:color="000000" w:sz="4"/>
                <w:left w:val="none" w:color="000000" w:sz="4"/>
                <w:bottom w:val="none" w:color="000000" w:sz="4"/>
                <w:right w:val="none" w:color="000000" w:sz="4"/>
                <w:insideH w:val="none"/>
                <w:insideV w:val="none"/>
              </w:tblBorders>
            </w:tblPr>
            <w:tblGrid>
              <w:gridCol w:w="226"/>
              <w:gridCol w:w="393"/>
              <w:gridCol w:w="194"/>
              <w:gridCol w:w="217"/>
              <w:gridCol w:w="1523"/>
            </w:tblGrid>
            <w:tr>
              <w:tc>
                <w:tcPr>
                  <w:tcW w:type="dxa" w:w="22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9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建设内容</w:t>
                  </w:r>
                </w:p>
              </w:tc>
              <w:tc>
                <w:tcPr>
                  <w:tcW w:type="dxa" w:w="19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1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52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服务内容</w:t>
                  </w:r>
                </w:p>
              </w:tc>
            </w:tr>
            <w:tr>
              <w:tc>
                <w:tcPr>
                  <w:tcW w:type="dxa" w:w="226"/>
                  <w:vMerge/>
                  <w:tcBorders>
                    <w:top w:val="single" w:color="000000" w:sz="4"/>
                    <w:left w:val="single" w:color="000000" w:sz="4"/>
                    <w:bottom w:val="single" w:color="000000" w:sz="4"/>
                    <w:right w:val="single" w:color="000000" w:sz="4"/>
                  </w:tcBorders>
                </w:tcPr>
                <w:p/>
              </w:tc>
              <w:tc>
                <w:tcPr>
                  <w:tcW w:type="dxa" w:w="393"/>
                  <w:vMerge/>
                  <w:tcBorders>
                    <w:top w:val="single" w:color="000000" w:sz="4"/>
                    <w:left w:val="none" w:color="000000" w:sz="4"/>
                    <w:bottom w:val="single" w:color="000000" w:sz="4"/>
                    <w:right w:val="single" w:color="000000" w:sz="4"/>
                  </w:tcBorders>
                </w:tcPr>
                <w:p/>
              </w:tc>
              <w:tc>
                <w:tcPr>
                  <w:tcW w:type="dxa" w:w="194"/>
                  <w:vMerge/>
                  <w:tcBorders>
                    <w:top w:val="single" w:color="000000" w:sz="4"/>
                    <w:left w:val="none" w:color="000000" w:sz="4"/>
                    <w:bottom w:val="single" w:color="000000" w:sz="4"/>
                    <w:right w:val="single" w:color="000000" w:sz="4"/>
                  </w:tcBorders>
                </w:tcPr>
                <w:p/>
              </w:tc>
              <w:tc>
                <w:tcPr>
                  <w:tcW w:type="dxa" w:w="217"/>
                  <w:vMerge/>
                  <w:tcBorders>
                    <w:top w:val="single" w:color="000000" w:sz="4"/>
                    <w:left w:val="none" w:color="000000" w:sz="4"/>
                    <w:bottom w:val="single" w:color="000000" w:sz="4"/>
                    <w:right w:val="single" w:color="000000" w:sz="4"/>
                  </w:tcBorders>
                </w:tcPr>
                <w:p/>
              </w:tc>
              <w:tc>
                <w:tcPr>
                  <w:tcW w:type="dxa" w:w="1523"/>
                  <w:vMerge/>
                  <w:tcBorders>
                    <w:top w:val="single" w:color="000000" w:sz="4"/>
                    <w:left w:val="none" w:color="000000" w:sz="4"/>
                    <w:bottom w:val="single" w:color="000000" w:sz="4"/>
                    <w:right w:val="single" w:color="000000" w:sz="4"/>
                  </w:tcBorders>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川金丝猴栖息地调查</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样线调查</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根据样线难度，每条样线调查外业人员需要至少两人。其样线调查的主要内容是根据样线布设特点，沿样线起点到终点徒步调查样线附近国家重点野生动物</w:t>
                  </w:r>
                  <w:r>
                    <w:rPr>
                      <w:rFonts w:ascii="仿宋_GB2312" w:hAnsi="仿宋_GB2312" w:cs="仿宋_GB2312" w:eastAsia="仿宋_GB2312"/>
                      <w:sz w:val="22"/>
                      <w:color w:val="000000"/>
                    </w:rPr>
                    <w:t xml:space="preserve">(含秦岭川金丝猴）出没情况，采集野生动员毛发、粪便、足迹等，分析重点野生动物活动痕迹，结合秦岭川金丝猴取食习性，调查样线周边林木生长规律，阔叶林和灌木林生长特点，初步摸清每条样线上秦岭川金丝猴的种群数量、个体差异、族群规模、乔木及灌木分布规律，记录相关数据并填写相关调查表格进行汇总。  </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样线调查以步行为主，以每小时</w:t>
                  </w:r>
                  <w:r>
                    <w:rPr>
                      <w:rFonts w:ascii="仿宋_GB2312" w:hAnsi="仿宋_GB2312" w:cs="仿宋_GB2312" w:eastAsia="仿宋_GB2312"/>
                      <w:sz w:val="22"/>
                      <w:color w:val="000000"/>
                    </w:rPr>
                    <w:t>2-3km为宜。观察对象可以是川金丝猴实体，也可以是川金丝猴的活动痕迹。记录实体时，只记录位于调查员前方及两侧的个体。记录所见实体及活动痕迹至样带中线的垂直距离。记录痕迹时，应记录新鲜活动痕迹（24小时内）的痕迹数量、地理位置、影像等信息。避免重复记录或漏记。观察记录对象应包括样带预定宽度以外的实体或活动痕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样方调查</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样方调查主要内容是在样线调查过程中，根据覆盖不同植被类型（如针叶林、阔叶林、混交林）、海拔梯度（川金丝猴多栖息于海拔</w:t>
                  </w:r>
                  <w:r>
                    <w:rPr>
                      <w:rFonts w:ascii="仿宋_GB2312" w:hAnsi="仿宋_GB2312" w:cs="仿宋_GB2312" w:eastAsia="仿宋_GB2312"/>
                      <w:sz w:val="22"/>
                      <w:color w:val="000000"/>
                    </w:rPr>
                    <w:t>1500-3500米）的差异布设20米*20米样方，采用样方调查法，每条样线每隔500-1000米设置不同生境类型调查样方1个，共设置调查样方40个，海拔高度从780米至2260米不等，主要是调查样线周围不同海拔高度、不同地形因子间植被类型、树种差异、地被盖度、林果分布，全面掌握川金丝猴栖息地取食喜好、树上活动规律和林间生活规律。</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报告编制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根据项目特点需要具有野生动物领域调查相关经验人员进行后期报告初步编写；正高级职称</w:t>
                  </w:r>
                  <w:r>
                    <w:rPr>
                      <w:rFonts w:ascii="仿宋_GB2312" w:hAnsi="仿宋_GB2312" w:cs="仿宋_GB2312" w:eastAsia="仿宋_GB2312"/>
                      <w:sz w:val="22"/>
                      <w:color w:val="000000"/>
                    </w:rPr>
                    <w:t>1人进行最终报告修编并编制成册，同时编制报告50册。进行报告编制内容为秦岭川金丝猴监测的主要方法、监测内容、秦岭川金丝猴族群数量、食性、个体差异区分、AI面部识别、栖息地生境变化、保护现状及今后监测的主要内容等。报告中涵盖了以往川金丝猴调查和现状调查相关数据图表资料等。</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调查人员保险费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经评估，为了落实野外调查人员安全责任，增强一切为了安全和</w:t>
                  </w:r>
                  <w:r>
                    <w:rPr>
                      <w:rFonts w:ascii="仿宋_GB2312" w:hAnsi="仿宋_GB2312" w:cs="仿宋_GB2312" w:eastAsia="仿宋_GB2312"/>
                      <w:sz w:val="22"/>
                      <w:color w:val="000000"/>
                    </w:rPr>
                    <w:t>“安全第一”的意识，参与金丝猴保护与监测项目野外调查人员（含野外调查人员、林场及各管护站参与配合人员、司机及其他保障人员），每人需投保人身意外险，投保期一年。</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望远镜</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放大倍率约</w:t>
                  </w:r>
                  <w:r>
                    <w:rPr>
                      <w:rFonts w:ascii="仿宋_GB2312" w:hAnsi="仿宋_GB2312" w:cs="仿宋_GB2312" w:eastAsia="仿宋_GB2312"/>
                      <w:sz w:val="22"/>
                      <w:color w:val="000000"/>
                    </w:rPr>
                    <w:t>10倍，物镜直径：30-50mm(含边框），目镜直径：19-23mm，镜片镀膜：SMC超宽带镀膜，防水等级≥充氮防水IPX7，重量：500g-880g。</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三光一体高清远距热成像夜视仪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1.传感器类型：氧化钒非制冷型探测器，帧频50Hz,热成像镜头焦距≥20mm，探测距离≥1600m,视场角7.53°×5.65°，对焦距离1m,F值F1.0，放大倍数1.5-8倍区间连续变倍。                  </w:t>
                  </w:r>
                </w:p>
                <w:p>
                  <w:pPr>
                    <w:pStyle w:val="null3"/>
                    <w:jc w:val="left"/>
                  </w:pPr>
                  <w:r>
                    <w:rPr>
                      <w:rFonts w:ascii="仿宋_GB2312" w:hAnsi="仿宋_GB2312" w:cs="仿宋_GB2312" w:eastAsia="仿宋_GB2312"/>
                      <w:sz w:val="22"/>
                      <w:color w:val="000000"/>
                    </w:rPr>
                    <w:t xml:space="preserve">2.显示器分辨率：1024×768inch,OLED,伪彩模式：黑热、白热、红热。出瞳直径：6毫米，出瞳距12毫米，屈光度-5~+2。                </w:t>
                  </w:r>
                </w:p>
                <w:p>
                  <w:pPr>
                    <w:pStyle w:val="null3"/>
                    <w:jc w:val="left"/>
                  </w:pPr>
                  <w:r>
                    <w:rPr>
                      <w:rFonts w:ascii="仿宋_GB2312" w:hAnsi="仿宋_GB2312" w:cs="仿宋_GB2312" w:eastAsia="仿宋_GB2312"/>
                      <w:sz w:val="22"/>
                      <w:color w:val="000000"/>
                    </w:rPr>
                    <w:t>3.电源，电池类型;一节18500锂电池，续航时间≥6h，支持（电池客量显示、防反接电池链接、过压保护）。Type-c电源;DC5V/2A,支持Qc3.0,仅内置电池可通过Type-C充电。</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测距仪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距离范围：</w:t>
                  </w:r>
                  <w:r>
                    <w:rPr>
                      <w:rFonts w:ascii="仿宋_GB2312" w:hAnsi="仿宋_GB2312" w:cs="仿宋_GB2312" w:eastAsia="仿宋_GB2312"/>
                      <w:sz w:val="22"/>
                      <w:color w:val="000000"/>
                    </w:rPr>
                    <w:t>3-1500m,反应时间：&lt;0.5s。测距精度：±1.0m，倍率：6±5%×，视场≥6.5.°，物镜孔径≥15mm,出孔直径：3.7±0.5mm,工作温度：-10摄氏度-30摄氏度，激光波长：905nm,防水等级≥IPX7。</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粪便取样袋</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无菌采样袋（</w:t>
                  </w:r>
                  <w:r>
                    <w:rPr>
                      <w:rFonts w:ascii="仿宋_GB2312" w:hAnsi="仿宋_GB2312" w:cs="仿宋_GB2312" w:eastAsia="仿宋_GB2312"/>
                      <w:sz w:val="22"/>
                      <w:color w:val="000000"/>
                    </w:rPr>
                    <w:t>38*50cm），四周密封，防穿刺封条，材料混合非回收聚乙烯薄膜。</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32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川金丝猴物种监测</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红外相机</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1.视频分辨率：≥4K/30帧</w:t>
                  </w:r>
                </w:p>
                <w:p>
                  <w:pPr>
                    <w:pStyle w:val="null3"/>
                    <w:jc w:val="left"/>
                  </w:pPr>
                  <w:r>
                    <w:rPr>
                      <w:rFonts w:ascii="仿宋_GB2312" w:hAnsi="仿宋_GB2312" w:cs="仿宋_GB2312" w:eastAsia="仿宋_GB2312"/>
                      <w:sz w:val="22"/>
                      <w:color w:val="000000"/>
                    </w:rPr>
                    <w:t>照片分辨率约</w:t>
                  </w:r>
                  <w:r>
                    <w:rPr>
                      <w:rFonts w:ascii="仿宋_GB2312" w:hAnsi="仿宋_GB2312" w:cs="仿宋_GB2312" w:eastAsia="仿宋_GB2312"/>
                      <w:sz w:val="22"/>
                      <w:color w:val="000000"/>
                    </w:rPr>
                    <w:t>16MP:4608x3456;12MP:4000x3000;8M:3264x2448;5M:2592x1944;3M:2048*1536; 1M:1280*960。</w:t>
                  </w:r>
                </w:p>
                <w:p>
                  <w:pPr>
                    <w:pStyle w:val="null3"/>
                    <w:jc w:val="left"/>
                  </w:pPr>
                  <w:r>
                    <w:rPr>
                      <w:rFonts w:ascii="仿宋_GB2312" w:hAnsi="仿宋_GB2312" w:cs="仿宋_GB2312" w:eastAsia="仿宋_GB2312"/>
                      <w:sz w:val="22"/>
                      <w:color w:val="000000"/>
                    </w:rPr>
                    <w:t>2,850nm高亮红外，夜视距离≥20米。</w:t>
                  </w:r>
                </w:p>
                <w:p>
                  <w:pPr>
                    <w:pStyle w:val="null3"/>
                    <w:jc w:val="left"/>
                  </w:pPr>
                  <w:r>
                    <w:rPr>
                      <w:rFonts w:ascii="仿宋_GB2312" w:hAnsi="仿宋_GB2312" w:cs="仿宋_GB2312" w:eastAsia="仿宋_GB2312"/>
                      <w:sz w:val="22"/>
                      <w:color w:val="000000"/>
                    </w:rPr>
                    <w:t>3.PIR感应角度120度，距离≥20米。</w:t>
                  </w:r>
                </w:p>
                <w:p>
                  <w:pPr>
                    <w:pStyle w:val="null3"/>
                    <w:jc w:val="left"/>
                  </w:pPr>
                  <w:r>
                    <w:rPr>
                      <w:rFonts w:ascii="仿宋_GB2312" w:hAnsi="仿宋_GB2312" w:cs="仿宋_GB2312" w:eastAsia="仿宋_GB2312"/>
                      <w:sz w:val="22"/>
                      <w:color w:val="000000"/>
                    </w:rPr>
                    <w:t>4.星光级镜头，110度大广角。</w:t>
                  </w:r>
                </w:p>
                <w:p>
                  <w:pPr>
                    <w:pStyle w:val="null3"/>
                    <w:jc w:val="left"/>
                  </w:pPr>
                  <w:r>
                    <w:rPr>
                      <w:rFonts w:ascii="仿宋_GB2312" w:hAnsi="仿宋_GB2312" w:cs="仿宋_GB2312" w:eastAsia="仿宋_GB2312"/>
                      <w:sz w:val="22"/>
                      <w:color w:val="000000"/>
                    </w:rPr>
                    <w:t>5.触发时间 ≤0.6秒。</w:t>
                  </w:r>
                </w:p>
                <w:p>
                  <w:pPr>
                    <w:pStyle w:val="null3"/>
                    <w:jc w:val="left"/>
                  </w:pPr>
                  <w:r>
                    <w:rPr>
                      <w:rFonts w:ascii="仿宋_GB2312" w:hAnsi="仿宋_GB2312" w:cs="仿宋_GB2312" w:eastAsia="仿宋_GB2312"/>
                      <w:sz w:val="22"/>
                      <w:color w:val="000000"/>
                    </w:rPr>
                    <w:t>6.屏幕大小：≥2.4寸,支持照片和视频回放。</w:t>
                  </w:r>
                </w:p>
                <w:p>
                  <w:pPr>
                    <w:pStyle w:val="null3"/>
                    <w:jc w:val="left"/>
                  </w:pPr>
                  <w:r>
                    <w:rPr>
                      <w:rFonts w:ascii="仿宋_GB2312" w:hAnsi="仿宋_GB2312" w:cs="仿宋_GB2312" w:eastAsia="仿宋_GB2312"/>
                      <w:sz w:val="22"/>
                      <w:color w:val="000000"/>
                    </w:rPr>
                    <w:t>7.带 Wifi和蓝牙模组，WiFi连接距离30米。</w:t>
                  </w:r>
                </w:p>
                <w:p>
                  <w:pPr>
                    <w:pStyle w:val="null3"/>
                    <w:jc w:val="left"/>
                  </w:pPr>
                  <w:r>
                    <w:rPr>
                      <w:rFonts w:ascii="仿宋_GB2312" w:hAnsi="仿宋_GB2312" w:cs="仿宋_GB2312" w:eastAsia="仿宋_GB2312"/>
                      <w:sz w:val="22"/>
                      <w:color w:val="000000"/>
                    </w:rPr>
                    <w:t>8.低电流消耗设计，12个月超长待机。</w:t>
                  </w:r>
                </w:p>
                <w:p>
                  <w:pPr>
                    <w:pStyle w:val="null3"/>
                    <w:jc w:val="left"/>
                  </w:pPr>
                  <w:r>
                    <w:rPr>
                      <w:rFonts w:ascii="仿宋_GB2312" w:hAnsi="仿宋_GB2312" w:cs="仿宋_GB2312" w:eastAsia="仿宋_GB2312"/>
                      <w:sz w:val="22"/>
                      <w:color w:val="000000"/>
                    </w:rPr>
                    <w:t>9.支持512G SD卡扩展。</w:t>
                  </w:r>
                </w:p>
                <w:p>
                  <w:pPr>
                    <w:pStyle w:val="null3"/>
                    <w:jc w:val="left"/>
                  </w:pPr>
                  <w:r>
                    <w:rPr>
                      <w:rFonts w:ascii="仿宋_GB2312" w:hAnsi="仿宋_GB2312" w:cs="仿宋_GB2312" w:eastAsia="仿宋_GB2312"/>
                      <w:sz w:val="22"/>
                      <w:color w:val="000000"/>
                    </w:rPr>
                    <w:t>10.电源：8节 5号干电池。</w:t>
                  </w:r>
                </w:p>
                <w:p>
                  <w:pPr>
                    <w:pStyle w:val="null3"/>
                    <w:jc w:val="left"/>
                  </w:pPr>
                  <w:r>
                    <w:rPr>
                      <w:rFonts w:ascii="仿宋_GB2312" w:hAnsi="仿宋_GB2312" w:cs="仿宋_GB2312" w:eastAsia="仿宋_GB2312"/>
                      <w:sz w:val="22"/>
                      <w:color w:val="000000"/>
                    </w:rPr>
                    <w:t>11.防水等级≥IP66。</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相机电池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节</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5号充电电池，电压1.2V,容量AA3300mAh/AAA1250mAh,输入高压力保护、输入过流保护、电池过充过放、安全温度保护。</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内存卡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性能</w:t>
                  </w:r>
                  <w:r>
                    <w:rPr>
                      <w:rFonts w:ascii="仿宋_GB2312" w:hAnsi="仿宋_GB2312" w:cs="仿宋_GB2312" w:eastAsia="仿宋_GB2312"/>
                      <w:sz w:val="22"/>
                      <w:color w:val="000000"/>
                    </w:rPr>
                    <w:t>≥128GB，读取速度≥100MB/秒，写入速度≥30MB/秒。闪存卡速度等级UHS-I级。</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红外相机监测数采集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r>
                    <w:rPr>
                      <w:rFonts w:ascii="仿宋_GB2312" w:hAnsi="仿宋_GB2312" w:cs="仿宋_GB2312" w:eastAsia="仿宋_GB2312"/>
                      <w:sz w:val="22"/>
                      <w:color w:val="000000"/>
                    </w:rPr>
                    <w:t>·次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根据林区实际及红外相机安装监测难易程度，实际需要外业监测人员至少两人，每部相机监测平均需要</w:t>
                  </w:r>
                  <w:r>
                    <w:rPr>
                      <w:rFonts w:ascii="仿宋_GB2312" w:hAnsi="仿宋_GB2312" w:cs="仿宋_GB2312" w:eastAsia="仿宋_GB2312"/>
                      <w:sz w:val="22"/>
                      <w:color w:val="000000"/>
                    </w:rPr>
                    <w:t>1天，主要内容为收集每部相机拍摄野生动物（含秦岭川金丝猴）的数量、调取红外相机附近抓拍的重点野生动物类别及种群数量，维修和加固现有红外相机并更换红外相机电池，根据拍摄需要及时调整红外相机布设地点并及时提取相机数据等。。</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整理数据</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color w:val="000000"/>
                    </w:rPr>
                    <w:t>根据监测调查情况，需要人员对数据进行整理分析且得出监测成果，主要整理内容为：整理每部相机拍摄的重点野生动物（含川金丝猴）出没地区</w:t>
                  </w:r>
                  <w:r>
                    <w:rPr>
                      <w:rFonts w:ascii="仿宋_GB2312" w:hAnsi="仿宋_GB2312" w:cs="仿宋_GB2312" w:eastAsia="仿宋_GB2312"/>
                      <w:sz w:val="22"/>
                      <w:color w:val="000000"/>
                    </w:rPr>
                    <w:t>GPS数据、出没频次、动物种类等，同时对相同重点野生动物出没的不同地区及不同重点野生动物出没的同一地区进行汇总整理，分析整理重点野生动物出没规律和栖息地变化规律，从而制定相应保护措施。</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32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川金丝猴保护宣传</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印制宣传册</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册</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6750</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约</w:t>
                  </w:r>
                  <w:r>
                    <w:rPr>
                      <w:rFonts w:ascii="仿宋_GB2312" w:hAnsi="仿宋_GB2312" w:cs="仿宋_GB2312" w:eastAsia="仿宋_GB2312"/>
                      <w:sz w:val="22"/>
                      <w:color w:val="000000"/>
                    </w:rPr>
                    <w:t>265mm*850mm四折页、四色彩印、约200g铜版纸、覆双膜，主要向林区群众、入山游客等发放川金丝猴保护宣传彩页，倡议林区群众加入到川金丝猴保护与监测工作中来，切实增强林区群众保护重点野生动物的行动自觉。</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32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川金丝猴保护与监测技能培训</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监测技能培训</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人次</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天培训，培训人数60人次，主要培训内容为秦岭野生川金丝猴栖息地调查和监测调查，秦岭野生川金丝猴保护与救治体系，野生动物野外监测调查主要内容、基本方法和监测成效评估，野生动物数据库搭建及数据库维护等。</w:t>
                  </w:r>
                </w:p>
              </w:tc>
            </w:tr>
          </w:tbl>
          <w:p>
            <w:pPr>
              <w:pStyle w:val="null3"/>
              <w:jc w:val="both"/>
            </w:pPr>
            <w:r>
              <w:rPr>
                <w:rFonts w:ascii="仿宋_GB2312" w:hAnsi="仿宋_GB2312" w:cs="仿宋_GB2312" w:eastAsia="仿宋_GB2312"/>
                <w:sz w:val="26"/>
              </w:rPr>
              <w:t>二、服务期限</w:t>
            </w:r>
          </w:p>
          <w:p>
            <w:pPr>
              <w:pStyle w:val="null3"/>
              <w:jc w:val="both"/>
            </w:pPr>
            <w:r>
              <w:rPr>
                <w:rFonts w:ascii="仿宋_GB2312" w:hAnsi="仿宋_GB2312" w:cs="仿宋_GB2312" w:eastAsia="仿宋_GB2312"/>
                <w:sz w:val="26"/>
              </w:rPr>
              <w:t>自合同签订之日起</w:t>
            </w:r>
            <w:r>
              <w:rPr>
                <w:rFonts w:ascii="仿宋_GB2312" w:hAnsi="仿宋_GB2312" w:cs="仿宋_GB2312" w:eastAsia="仿宋_GB2312"/>
                <w:sz w:val="26"/>
              </w:rPr>
              <w:t>180</w:t>
            </w:r>
            <w:r>
              <w:rPr>
                <w:rFonts w:ascii="仿宋_GB2312" w:hAnsi="仿宋_GB2312" w:cs="仿宋_GB2312" w:eastAsia="仿宋_GB2312"/>
                <w:sz w:val="26"/>
              </w:rPr>
              <w:t>日历天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工程审计完成后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相关主体信用记录查询</w:t>
            </w:r>
          </w:p>
        </w:tc>
        <w:tc>
          <w:tcPr>
            <w:tcW w:type="dxa" w:w="3322"/>
          </w:tcPr>
          <w:p>
            <w:pPr>
              <w:pStyle w:val="null3"/>
            </w:pPr>
            <w:r>
              <w:rPr>
                <w:rFonts w:ascii="仿宋_GB2312" w:hAnsi="仿宋_GB2312" w:cs="仿宋_GB2312" w:eastAsia="仿宋_GB2312"/>
              </w:rPr>
              <w:t>供应商应通过“信用中国”网站(www.creditchina.gov.cn)、中国政府采购网(www.ccgp.gov.cn) 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响应文件封面 供应商应提交的相关资格证明材料.docx 残疾人福利性单位声明函 服务方案 业绩证明材料.docx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响应文件封面 供应商应提交的相关资格证明材料.docx 残疾人福利性单位声明函 服务方案 业绩证明材料.docx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分项报价明细表.docx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服务方案内容至少包括①服务内容；②服务措施；③ 服务目标等 。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内容至少包括①项目实施进度目标分析；②项目进度保障措施；③突发情况的应急方案等。以上内容专门针对本项目且符合本项目实际需求的得15分，每缺一项内容扣5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质量保证措施内容至少包括①质量保障方案；②质量目标；③成果文件质量控制措施等。以上内容专门针对本项目且符合本项目实际需求的得15分，每缺一项内容扣5分，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项目团队配置内容至少包括①团队组织人员配置明细；②团队人员管理制度；③各专业岗位配置；④配置人员资格、职称及工作经验等。 以上内容专门针对本项目且符合本 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数据及资料管理方案</w:t>
            </w:r>
          </w:p>
        </w:tc>
        <w:tc>
          <w:tcPr>
            <w:tcW w:type="dxa" w:w="2492"/>
          </w:tcPr>
          <w:p>
            <w:pPr>
              <w:pStyle w:val="null3"/>
            </w:pPr>
            <w:r>
              <w:rPr>
                <w:rFonts w:ascii="仿宋_GB2312" w:hAnsi="仿宋_GB2312" w:cs="仿宋_GB2312" w:eastAsia="仿宋_GB2312"/>
              </w:rPr>
              <w:t>数据及资料管理方案至少包括①数据收集方案；②资料管理方案；③具体工作措施；④数据安全保护措施等。 以上内容专门针对本项目且符合本项目实际需求的得10分，每缺一项内容扣2. 5分，若上述内容存在瑕疵，每出现一处瑕疵扣1分，扣完为止。“瑕疵”指内容明显错误，或内容不完 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所投设备选型明确，技术指标清晰，符合国际、国家的标准和有关规定，技术资料齐全，技术参数逐条响应符合招标文件要求计10分，技术指标负偏离1项扣1分，扣完为止。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服务承诺内容均详细完整，合理全面与项目需求吻合且有针对性，表述规范，清楚明了，含义准确且有具体详细的阐述且符合项目要求的得5分，每有一处存在不足扣1分，扣完为止。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供应商具有2022年1月1日（以合同签订时间为准）同类项目业绩，响应文件中提供合同复印件或中标通知书加盖公章，每提供一个得2分，最高得10分。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 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