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版本号：DHJC2025-ZC-CS01520250603001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翠峰镇官村苗木生产路硬化项目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DHJC2025-ZC-CS015</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翠峰镇官村苗木生产路硬化项目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翠峰镇官村苗木生产路硬化项目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采购包1（翠峰镇官村苗木生产路硬化项目）：属于专门面向中小企业采购。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1、法定代表人授权书或法定代表人身份证明：提供法定代表人授权书（附法定代表人及被授权人身份证复印件）；法定代表人直接参加投标，须提供法定代表人身份证明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4、信用记录：供应商未被“信用中国”网站（www.creditchina.gov.cn）列入失信被执行人和重大税收违法失信主体，未被中国政府采购网（www.ccgp.gov.cn）列入政府采购严重违法失信行为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18791915545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采购包1：1,312,100.00元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10%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联系电话：18791915545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1,312,100.00</w:t>
      </w:r>
    </w:p>
    <w:p>
      <w:pPr>
        <w:pStyle w:val="null3"/>
      </w:pPr>
      <w:r>
        <w:rPr>
          <w:rFonts w:ascii="仿宋_GB2312" w:hAnsi="仿宋_GB2312" w:cs="仿宋_GB2312" w:eastAsia="仿宋_GB2312"/>
        </w:rPr>
        <w:t>采购包最高限价（元）: 1,312,100.00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翠峰镇官村苗木生产路硬化项目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1,312,100.00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标的名称：翠峰镇官村苗木生产路硬化项目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rPr>
              <w:t>工期：</w:t>
            </w:r>
            <w:r>
              <w:rPr>
                <w:rFonts w:ascii="仿宋_GB2312" w:hAnsi="仿宋_GB2312" w:cs="仿宋_GB2312" w:eastAsia="仿宋_GB2312"/>
                <w:sz w:val="22"/>
              </w:rPr>
              <w:t>120日历天</w:t>
            </w:r>
          </w:p>
          <w:p>
            <w:pPr>
              <w:pStyle w:val="null3"/>
              <w:jc w:val="left"/>
            </w:pPr>
            <w:r>
              <w:rPr>
                <w:rFonts w:ascii="仿宋_GB2312" w:hAnsi="仿宋_GB2312" w:cs="仿宋_GB2312" w:eastAsia="仿宋_GB2312"/>
                <w:sz w:val="22"/>
              </w:rPr>
              <w:t>工程地点：采购人指定地点</w:t>
            </w:r>
          </w:p>
          <w:p>
            <w:pPr>
              <w:pStyle w:val="null3"/>
              <w:jc w:val="left"/>
            </w:pPr>
            <w:r>
              <w:rPr>
                <w:rFonts w:ascii="仿宋_GB2312" w:hAnsi="仿宋_GB2312" w:cs="仿宋_GB2312" w:eastAsia="仿宋_GB2312"/>
                <w:sz w:val="22"/>
              </w:rPr>
              <w:t>工程范围：磋商文件及工程量清单范围内的全部工作</w:t>
            </w:r>
          </w:p>
          <w:p>
            <w:pPr>
              <w:pStyle w:val="null3"/>
              <w:jc w:val="left"/>
            </w:pPr>
            <w:r>
              <w:rPr>
                <w:rFonts w:ascii="仿宋_GB2312" w:hAnsi="仿宋_GB2312" w:cs="仿宋_GB2312" w:eastAsia="仿宋_GB2312"/>
                <w:sz w:val="22"/>
              </w:rPr>
              <w:t>质量标准：符合国家现行有关施工质量验收规范</w:t>
            </w:r>
            <w:r>
              <w:rPr>
                <w:rFonts w:ascii="仿宋_GB2312" w:hAnsi="仿宋_GB2312" w:cs="仿宋_GB2312" w:eastAsia="仿宋_GB2312"/>
                <w:sz w:val="22"/>
              </w:rPr>
              <w:t>“合格”要求标准</w:t>
            </w:r>
          </w:p>
          <w:p>
            <w:pPr>
              <w:pStyle w:val="null3"/>
              <w:jc w:val="left"/>
            </w:pPr>
            <w:r>
              <w:rPr>
                <w:rFonts w:ascii="仿宋_GB2312" w:hAnsi="仿宋_GB2312" w:cs="仿宋_GB2312" w:eastAsia="仿宋_GB2312"/>
                <w:sz w:val="22"/>
                <w:shd w:fill="FFFFFF" w:val="clear"/>
              </w:rPr>
              <w:t>付款方式：</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jc w:val="both"/>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（1）本工程采用招标控制价电子版本：天宇e算陕西省水利水电工程造价软件版本V1.2.6。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投标方案.docx 响应函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供应商需在项目电子化交易系统中上传2023年度或2024年度经审计的财务报告（包括审计报告、资产负债表、利润表、现金流量表、所有者权益变动表（没有可不提供）及附注，成立时间至提交投标文件截止时间不足一年的可提供成立后任意时段的资产负债表），或基本存款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提供法定代表人授权书（附法定代表人及被授权人身份证复印件）；法定代表人直接参加投标，须提供法定代表人身份证明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磋商响应文件上法定代表人或其授权代表人按要求签字，加盖公章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