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富仁镇高庙村猕猴桃生产路硬化项目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富仁镇高庙村猕猴桃生产路硬化项目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富仁镇高庙村猕猴桃生产路硬化项目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富仁镇高庙村猕猴桃生产路硬化项目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采购包1（富仁镇高庙村猕猴桃生产路硬化项目）：属于专门面向中小企业采购。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 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1,524,700.00</w:t>
      </w:r>
    </w:p>
    <w:p>
      <w:pPr>
        <w:pStyle w:val="null3"/>
      </w:pPr>
      <w:r>
        <w:rPr>
          <w:rFonts w:ascii="仿宋_GB2312" w:hAnsi="仿宋_GB2312" w:cs="仿宋_GB2312" w:eastAsia="仿宋_GB2312"/>
        </w:rPr>
        <w:t>采购包最高限价（元）: 1,524,700.00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富仁镇高庙村猕猴桃生产路硬化项目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1,524,700.00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标的名称：富仁镇高庙村猕猴桃生产路硬化项目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jc w:val="both"/>
            </w:pPr>
            <w:r>
              <w:rPr>
                <w:rFonts w:ascii="仿宋_GB2312" w:hAnsi="仿宋_GB2312" w:cs="仿宋_GB2312" w:eastAsia="仿宋_GB2312"/>
                <w:sz w:val="21"/>
              </w:rPr>
              <w:t>2）若工程量清单与图纸存在不一致，以工程量清单为准。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