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版本号：QH2025-CS-02520250605001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楼观镇上三清村猕猴桃生产路硬化项目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QH2025-CS-025</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陕西启航项目管理咨询有限公司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陕西启航项目管理咨询有限公司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楼观镇上三清村猕猴桃生产路硬化项目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QH2025-CS-025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楼观镇上三清村猕猴桃生产路硬化项目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楼观镇上三清村猕猴桃生产路硬化项目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采购包1（楼观镇上三清村猕猴桃生产路硬化项目）：属于专门面向中小企业采购。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3、财务审计报告或资信证明：提供2023年度或2024年度完整的财务审计报告或开标时间前六个月内银行出具的资信证明；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7、供应商资质：供应商具有建设行政主管部门颁发的市政公用工程施工总承包三级及以上(含三级)资质，且具备有效的安全生产许可证；</w:t>
      </w:r>
    </w:p>
    <w:p>
      <w:pPr>
        <w:pStyle w:val="null3"/>
      </w:pPr>
      <w:r>
        <w:rPr>
          <w:rFonts w:ascii="仿宋_GB2312" w:hAnsi="仿宋_GB2312" w:cs="仿宋_GB2312" w:eastAsia="仿宋_GB2312"/>
        </w:rPr>
        <w:t>8、项目经理资质：拟派项目经理须具有市政公用工程专业二级及以上注册建造师资质并具有安全生产考核合格证，在本单位注册且无在建工程（提供无在建承诺书）；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9、履行合同能力说明：提供具有履行本合同所必需的设备和专业技术能力的说明及承诺书；</w:t>
      </w:r>
    </w:p>
    <w:p>
      <w:pPr>
        <w:pStyle w:val="null3"/>
      </w:pPr>
      <w:r>
        <w:rPr>
          <w:rFonts w:ascii="仿宋_GB2312" w:hAnsi="仿宋_GB2312" w:cs="仿宋_GB2312" w:eastAsia="仿宋_GB2312"/>
        </w:rPr>
        <w:t>10、无重大违法记录的书面声明：参加政府采购活动前3年内，在经营活动中没有重大违法记录的书面声明；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西安市周至县农业综合开发服务中心经办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陕西启航项目管理咨询有限公司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陕西省西安市雁塔区高新路25号瑞欣大厦6楼B户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高俊峰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19993561664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采购包1：1,014,000.00元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 [2002]1980号）文件的有关规定执行。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陕西启航项目管理咨询有限公司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陕西启航项目管理咨询有限公司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陕西启航项目管理咨询有限公司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联系人：高俊峰</w:t>
      </w:r>
    </w:p>
    <w:p>
      <w:pPr>
        <w:pStyle w:val="null3"/>
      </w:pPr>
      <w:r>
        <w:rPr>
          <w:rFonts w:ascii="仿宋_GB2312" w:hAnsi="仿宋_GB2312" w:cs="仿宋_GB2312" w:eastAsia="仿宋_GB2312"/>
        </w:rPr>
        <w:t>联系电话：19993561664</w:t>
      </w:r>
    </w:p>
    <w:p>
      <w:pPr>
        <w:pStyle w:val="null3"/>
      </w:pPr>
      <w:r>
        <w:rPr>
          <w:rFonts w:ascii="仿宋_GB2312" w:hAnsi="仿宋_GB2312" w:cs="仿宋_GB2312" w:eastAsia="仿宋_GB2312"/>
        </w:rPr>
        <w:t>地址：陕西省西安市雁塔区高新路25号瑞欣大厦6楼B户</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1,014,000.00</w:t>
      </w:r>
    </w:p>
    <w:p>
      <w:pPr>
        <w:pStyle w:val="null3"/>
      </w:pPr>
      <w:r>
        <w:rPr>
          <w:rFonts w:ascii="仿宋_GB2312" w:hAnsi="仿宋_GB2312" w:cs="仿宋_GB2312" w:eastAsia="仿宋_GB2312"/>
        </w:rPr>
        <w:t>采购包最高限价（元）: 1,014,000.00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楼观镇上三清村猕猴桃生产路硬化项目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1,014,000.00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标的名称：楼观镇上三清村猕猴桃生产路硬化项目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施工范围</w:t>
            </w:r>
            <w:r>
              <w:rPr>
                <w:rFonts w:ascii="仿宋_GB2312" w:hAnsi="仿宋_GB2312" w:cs="仿宋_GB2312" w:eastAsia="仿宋_GB2312"/>
                <w:sz w:val="24"/>
              </w:rPr>
              <w:t>:工程量清单及施工图纸全部内容</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2、工期:自合同签订之日起120日历天</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3、质量标准:符合国家现行有关施工质量验收规范“合格”要求标准</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4、其他需说明的事项:</w:t>
            </w:r>
          </w:p>
          <w:p>
            <w:pPr>
              <w:pStyle w:val="null3"/>
              <w:ind w:firstLine="480"/>
              <w:jc w:val="both"/>
            </w:pPr>
            <w:r>
              <w:rPr>
                <w:rFonts w:ascii="仿宋_GB2312" w:hAnsi="仿宋_GB2312" w:cs="仿宋_GB2312" w:eastAsia="仿宋_GB2312"/>
                <w:sz w:val="24"/>
              </w:rPr>
              <w:t>1）本工程采用招标控制价电子版本:天宇e算陕西省水利水电工程造价软件版本V1.2.6。</w:t>
            </w:r>
          </w:p>
          <w:p>
            <w:pPr>
              <w:pStyle w:val="null3"/>
              <w:jc w:val="both"/>
            </w:pPr>
            <w:r>
              <w:rPr>
                <w:rFonts w:ascii="仿宋_GB2312" w:hAnsi="仿宋_GB2312" w:cs="仿宋_GB2312" w:eastAsia="仿宋_GB2312"/>
                <w:sz w:val="24"/>
              </w:rPr>
              <w:t xml:space="preserve">   2）若工程量清单与图纸存在不一致，以工程量清单为准。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供应商具有建设行政主管部门颁发的市政公用工程施工总承包三级及以上(含三级)资质，且具备有效的安全生产许可证；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供应商针对本项目编制完整的安全文明施工措施，内容包含：①安全生产管理制度②安全文明施工措施③安全应急预案④安全生产教育。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②安全文明施工措施：每完全满足一个评审标准得0.5分，满分1.5分；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