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版本号：YC2531200122-ZFCG20250618001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周至县2025年农村饮水水质检测项目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YC2531200122-ZFCG</w:t>
      </w:r>
      <w:r>
        <w:br/>
      </w:r>
      <w:r>
        <w:br/>
      </w:r>
      <w:r>
        <w:br/>
      </w:r>
    </w:p>
    <w:p>
      <w:pPr>
        <w:pStyle w:val="null3"/>
        <w:jc w:val="center"/>
        <w:outlineLvl w:val="2"/>
      </w:pPr>
      <w:r>
        <w:rPr>
          <w:rFonts w:ascii="仿宋_GB2312" w:hAnsi="仿宋_GB2312" w:cs="仿宋_GB2312" w:eastAsia="仿宋_GB2312"/>
          <w:sz w:val="28"/>
          <w:b/>
        </w:rPr>
        <w:t>西安市周至县人畜安全饮水管理中心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西安市周至县人畜安全饮水管理中心</w:t>
      </w:r>
      <w:r>
        <w:rPr>
          <w:rFonts w:ascii="仿宋_GB2312" w:hAnsi="仿宋_GB2312" w:cs="仿宋_GB2312" w:eastAsia="仿宋_GB2312"/>
        </w:rPr>
        <w:t>委托，拟对</w:t>
      </w:r>
      <w:r>
        <w:rPr>
          <w:rFonts w:ascii="仿宋_GB2312" w:hAnsi="仿宋_GB2312" w:cs="仿宋_GB2312" w:eastAsia="仿宋_GB2312"/>
        </w:rPr>
        <w:t>周至县2025年农村饮水水质检测项目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YC2531200122-ZFCG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周至县2025年农村饮水水质检测项目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对全县400处供水水源进行检测。检测指标按照《生活饮用水卫生标准》（GB5749-2022）执行为43项。检测结果必须符合《农村饮水安全评价准则》，确保供水水质达标。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采购包1（周至县2025年农村饮水水质检测项目一标段）：属于专门面向中小企业采购。</w:t>
      </w:r>
    </w:p>
    <w:p>
      <w:pPr>
        <w:pStyle w:val="null3"/>
      </w:pPr>
      <w:r>
        <w:rPr>
          <w:rFonts w:ascii="仿宋_GB2312" w:hAnsi="仿宋_GB2312" w:cs="仿宋_GB2312" w:eastAsia="仿宋_GB2312"/>
        </w:rPr>
        <w:t>采购包2（周至县2025年农村饮水水质检测项目二标段）：属于专门面向中小企业采购。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3、资质能力：供应商应具备省级或省级以上计量主管单位核发的 CMA 认证证书，同时应具备《生活饮用水卫生标准》（GB5749-2022）检测能力；</w:t>
      </w:r>
    </w:p>
    <w:p>
      <w:pPr>
        <w:pStyle w:val="null3"/>
      </w:pPr>
      <w:r>
        <w:rPr>
          <w:rFonts w:ascii="仿宋_GB2312" w:hAnsi="仿宋_GB2312" w:cs="仿宋_GB2312" w:eastAsia="仿宋_GB2312"/>
        </w:rPr>
        <w:t>4、企业信誉：供应商不得为“信用中国”网站(wn, creditchina.ov.cn)列入“失信被执行人(页面跳转至“中国执行信息公开网”http;/zxgk.court.gov.cn/shixin/)、重大税收违法失信主体、政府采购严重违法失信行为记录名单”的供应商;不得为中国政府采败网(http://wnnw.ccgp.gov.cn)“政府采购严重违法失信行为记录名单”中的供应商;</w:t>
      </w:r>
    </w:p>
    <w:p>
      <w:pPr>
        <w:pStyle w:val="null3"/>
      </w:pPr>
      <w:r>
        <w:rPr>
          <w:rFonts w:ascii="仿宋_GB2312" w:hAnsi="仿宋_GB2312" w:cs="仿宋_GB2312" w:eastAsia="仿宋_GB2312"/>
        </w:rPr>
        <w:t>5、单位负责人为同一人或者存在直接控股管理关系的不同供应商：单位负责人为同一人或者存在直接控股、管理关系的不同供应商，不得参与同一合同项下的政府采购活动;</w:t>
      </w:r>
    </w:p>
    <w:p>
      <w:pPr>
        <w:pStyle w:val="null3"/>
      </w:pPr>
      <w:r>
        <w:rPr>
          <w:rFonts w:ascii="仿宋_GB2312" w:hAnsi="仿宋_GB2312" w:cs="仿宋_GB2312" w:eastAsia="仿宋_GB2312"/>
        </w:rPr>
        <w:t>6、联合体磋商要求：本次磋商不接受联合体磋商。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3、资质能力：供应商应具备省级或省级以上计量主管单位核发的 CMA 认证证书，同时应具备《生活饮用水卫生标准》（GB5749-2022）检测能力；</w:t>
      </w:r>
    </w:p>
    <w:p>
      <w:pPr>
        <w:pStyle w:val="null3"/>
      </w:pPr>
      <w:r>
        <w:rPr>
          <w:rFonts w:ascii="仿宋_GB2312" w:hAnsi="仿宋_GB2312" w:cs="仿宋_GB2312" w:eastAsia="仿宋_GB2312"/>
        </w:rPr>
        <w:t>4、企业信誉：供应商不得为“信用中国”网站(wn, creditchina.ov.cn)列入“失信被执行人(页面跳转至“中国执行信息公开网”http;/zxgk.court.gov.cn/shixin/)、重大税收违法失信主体、政府采购严重违法失信行为记录名单”的供应商;不得为中国政府采败网(http://wnnw.ccgp.gov.cn)“政府采购严重违法失信行为记录名单”中的供应商;</w:t>
      </w:r>
    </w:p>
    <w:p>
      <w:pPr>
        <w:pStyle w:val="null3"/>
      </w:pPr>
      <w:r>
        <w:rPr>
          <w:rFonts w:ascii="仿宋_GB2312" w:hAnsi="仿宋_GB2312" w:cs="仿宋_GB2312" w:eastAsia="仿宋_GB2312"/>
        </w:rPr>
        <w:t>5、单位负责人为同一人或者存在直接控股管理关系的不同供应商：单位负责人为同一人或者存在直接控股、管理关系的不同供应商，不得参与同一合同项下的政府采购活动;</w:t>
      </w:r>
    </w:p>
    <w:p>
      <w:pPr>
        <w:pStyle w:val="null3"/>
      </w:pPr>
      <w:r>
        <w:rPr>
          <w:rFonts w:ascii="仿宋_GB2312" w:hAnsi="仿宋_GB2312" w:cs="仿宋_GB2312" w:eastAsia="仿宋_GB2312"/>
        </w:rPr>
        <w:t>6、联合体磋商要求：本次磋商不接受联合体磋商。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西安市周至县人畜安全饮水管理中心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西安市周至县人畜安全饮水管理中心经办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87112272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采购包1：714,672.00元</w:t>
            </w:r>
          </w:p>
          <w:p>
            <w:pPr>
              <w:pStyle w:val="null3"/>
            </w:pPr>
            <w:r>
              <w:rPr>
                <w:rFonts w:ascii="仿宋_GB2312" w:hAnsi="仿宋_GB2312" w:cs="仿宋_GB2312" w:eastAsia="仿宋_GB2312"/>
              </w:rPr>
              <w:t>采购包2：419,728.00元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代理服务费收费标准：招标代理服务费依据计价格[2002]1980号文和发改价格[2011]534号文收费标准收取。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西安市周至县人畜安全饮水管理中心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西安市周至县人畜安全饮水管理中心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西安市周至县人畜安全饮水管理中心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检测指标按照《生活饮用水卫生标准》（GB5749-2022）执行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检测指标按照《生活饮用水卫生标准》（GB5749-2022）执行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对全县400处供水水源进行检测。检测指标按照《生活饮用水卫生标准》（GB5749-2022）执行为43项。检测结果必须符合《农村饮水安全评价准则》，确保供水水质达标。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714,672.00</w:t>
      </w:r>
    </w:p>
    <w:p>
      <w:pPr>
        <w:pStyle w:val="null3"/>
      </w:pPr>
      <w:r>
        <w:rPr>
          <w:rFonts w:ascii="仿宋_GB2312" w:hAnsi="仿宋_GB2312" w:cs="仿宋_GB2312" w:eastAsia="仿宋_GB2312"/>
        </w:rPr>
        <w:t>采购包最高限价（元）: 714,672.00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周至县2025年农村饮水水质检测项目一标段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714,672.00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419,728.00</w:t>
      </w:r>
    </w:p>
    <w:p>
      <w:pPr>
        <w:pStyle w:val="null3"/>
      </w:pPr>
      <w:r>
        <w:rPr>
          <w:rFonts w:ascii="仿宋_GB2312" w:hAnsi="仿宋_GB2312" w:cs="仿宋_GB2312" w:eastAsia="仿宋_GB2312"/>
        </w:rPr>
        <w:t>采购包最高限价（元）: 419,728.00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周至县2025年农村饮水水质检测项目二标段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419,728.00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标的名称：周至县2025年农村饮水水质检测项目一标段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服务要求 ：1、在规定服务期限内，乙方应完成采样，并向甲方出具有效的CMA 认证的样品检验报告。 2、抽样地点：西安市周至县区域水质检测点。 3、检测指标及评价方法标准参考：《生活饮用水卫生标准》GB 5749-2022</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对全县400处供水水源进行检测。检测指标按照《生活饮用水卫生标准》（GB5749-2022）执行为43项。检测结果必须符合《农村饮水安全评价准则》，确保供水水质达标。其中包1涉及东片11镇 252 个水样：分别为广济41个，马召镇42个，二曲街道12个,四屯镇26个，富仁镇21个，楼观镇46个，尚村镇17个，司竹镇20个，终南镇9个，集贤镇11个，九峰镇7个；包2涉及西片9镇148个，分别为板房子镇10个， 陈河镇 5 个，厚畛子镇9个，王家河镇8个； 竹峪镇 46 个，翠峰镇40个，骆峪镇17个，哑柏镇8个，青化镇5个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商务要求1、价款结算：实际检测费用按照实际检测点位及单个监测点位检测单价据实结算。2、服务期限：自合同签订之日起 60 日历天，每次检测期限不得超过20 个日历天。其他：如成交供应商提供的采购服务与采购人的采购要求出现偏离，导致无法达到采购人使用要求时，成交供应商有义务对采购服务进行改进，直至达到采购人要求。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color w:val="000000"/>
              </w:rPr>
              <w:t>清</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单</w:t>
            </w:r>
          </w:p>
          <w:tbl>
            <w:tblPr>
              <w:tblInd w:type="dxa" w:w="105"/>
              <w:tblBorders>
                <w:top w:val="none" w:color="000000" w:sz="4"/>
                <w:left w:val="none" w:color="000000" w:sz="4"/>
                <w:bottom w:val="none" w:color="000000" w:sz="4"/>
                <w:right w:val="none" w:color="000000" w:sz="4"/>
                <w:insideH w:val="none"/>
                <w:insideV w:val="none"/>
              </w:tblBorders>
            </w:tblPr>
            <w:tblGrid>
              <w:gridCol w:w="247"/>
              <w:gridCol w:w="738"/>
              <w:gridCol w:w="849"/>
              <w:gridCol w:w="499"/>
              <w:gridCol w:w="296"/>
              <w:gridCol w:w="548"/>
            </w:tblGrid>
            <w:tr>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35"/>
                    <w:jc w:val="left"/>
                  </w:pPr>
                  <w:r>
                    <w:rPr>
                      <w:rFonts w:ascii="仿宋_GB2312" w:hAnsi="仿宋_GB2312" w:cs="仿宋_GB2312" w:eastAsia="仿宋_GB2312"/>
                      <w:sz w:val="24"/>
                      <w:color w:val="000000"/>
                    </w:rPr>
                    <w:t>序号</w:t>
                  </w:r>
                </w:p>
              </w:tc>
              <w:tc>
                <w:tcPr>
                  <w:tcW w:type="dxa" w:w="7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855"/>
                    <w:jc w:val="left"/>
                  </w:pPr>
                  <w:r>
                    <w:rPr>
                      <w:rFonts w:ascii="仿宋_GB2312" w:hAnsi="仿宋_GB2312" w:cs="仿宋_GB2312" w:eastAsia="仿宋_GB2312"/>
                      <w:sz w:val="24"/>
                      <w:color w:val="000000"/>
                    </w:rPr>
                    <w:t>类别</w:t>
                  </w:r>
                </w:p>
              </w:tc>
              <w:tc>
                <w:tcPr>
                  <w:tcW w:type="dxa" w:w="8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780"/>
                    <w:jc w:val="left"/>
                  </w:pPr>
                  <w:r>
                    <w:rPr>
                      <w:rFonts w:ascii="仿宋_GB2312" w:hAnsi="仿宋_GB2312" w:cs="仿宋_GB2312" w:eastAsia="仿宋_GB2312"/>
                      <w:sz w:val="24"/>
                      <w:color w:val="000000"/>
                    </w:rPr>
                    <w:t>检测项目</w:t>
                  </w:r>
                </w:p>
              </w:tc>
              <w:tc>
                <w:tcPr>
                  <w:tcW w:type="dxa" w:w="4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24"/>
                      <w:color w:val="000000"/>
                    </w:rPr>
                    <w:t>单价</w:t>
                  </w:r>
                </w:p>
                <w:p>
                  <w:pPr>
                    <w:pStyle w:val="null3"/>
                    <w:spacing w:before="90"/>
                    <w:ind w:left="210"/>
                    <w:jc w:val="left"/>
                  </w:pPr>
                  <w:r>
                    <w:rPr>
                      <w:rFonts w:ascii="仿宋_GB2312" w:hAnsi="仿宋_GB2312" w:cs="仿宋_GB2312" w:eastAsia="仿宋_GB2312"/>
                      <w:sz w:val="24"/>
                      <w:color w:val="000000"/>
                    </w:rPr>
                    <w:t>（元</w:t>
                  </w:r>
                  <w:r>
                    <w:rPr>
                      <w:rFonts w:ascii="仿宋_GB2312" w:hAnsi="仿宋_GB2312" w:cs="仿宋_GB2312" w:eastAsia="仿宋_GB2312"/>
                      <w:sz w:val="24"/>
                      <w:color w:val="000000"/>
                    </w:rPr>
                    <w:t>/份）</w:t>
                  </w:r>
                </w:p>
              </w:tc>
              <w:tc>
                <w:tcPr>
                  <w:tcW w:type="dxa" w:w="2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left"/>
                  </w:pPr>
                  <w:r>
                    <w:rPr>
                      <w:rFonts w:ascii="仿宋_GB2312" w:hAnsi="仿宋_GB2312" w:cs="仿宋_GB2312" w:eastAsia="仿宋_GB2312"/>
                      <w:sz w:val="24"/>
                      <w:color w:val="000000"/>
                    </w:rPr>
                    <w:t>样品</w:t>
                  </w:r>
                </w:p>
                <w:p>
                  <w:pPr>
                    <w:pStyle w:val="null3"/>
                    <w:spacing w:before="90"/>
                    <w:ind w:left="210"/>
                    <w:jc w:val="left"/>
                  </w:pPr>
                  <w:r>
                    <w:rPr>
                      <w:rFonts w:ascii="仿宋_GB2312" w:hAnsi="仿宋_GB2312" w:cs="仿宋_GB2312" w:eastAsia="仿宋_GB2312"/>
                      <w:sz w:val="24"/>
                      <w:color w:val="000000"/>
                    </w:rPr>
                    <w:t>数量</w:t>
                  </w:r>
                </w:p>
              </w:tc>
              <w:tc>
                <w:tcPr>
                  <w:tcW w:type="dxa" w:w="5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570"/>
                    <w:jc w:val="left"/>
                  </w:pPr>
                  <w:r>
                    <w:rPr>
                      <w:rFonts w:ascii="仿宋_GB2312" w:hAnsi="仿宋_GB2312" w:cs="仿宋_GB2312" w:eastAsia="仿宋_GB2312"/>
                      <w:sz w:val="24"/>
                      <w:color w:val="000000"/>
                    </w:rPr>
                    <w:t>小计</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jc w:val="left"/>
                  </w:pPr>
                  <w:r>
                    <w:rPr>
                      <w:rFonts w:ascii="仿宋_GB2312" w:hAnsi="仿宋_GB2312" w:cs="仿宋_GB2312" w:eastAsia="仿宋_GB2312"/>
                      <w:sz w:val="24"/>
                      <w:color w:val="000000"/>
                    </w:rPr>
                    <w:t>1</w:t>
                  </w:r>
                </w:p>
              </w:tc>
              <w:tc>
                <w:tcPr>
                  <w:tcW w:type="dxa" w:w="73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微生物指标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60"/>
                    <w:jc w:val="left"/>
                  </w:pPr>
                  <w:r>
                    <w:rPr>
                      <w:rFonts w:ascii="仿宋_GB2312" w:hAnsi="仿宋_GB2312" w:cs="仿宋_GB2312" w:eastAsia="仿宋_GB2312"/>
                      <w:sz w:val="24"/>
                      <w:color w:val="000000"/>
                    </w:rPr>
                    <w:t>总大肠菌群</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菌落总数</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24"/>
                      <w:color w:val="000000"/>
                    </w:rPr>
                    <w:t>大肠埃希氏菌</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w:t>
                  </w:r>
                </w:p>
              </w:tc>
              <w:tc>
                <w:tcPr>
                  <w:tcW w:type="dxa" w:w="73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毒性指标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5</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镉</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6</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六价铬</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7</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铅</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8</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汞</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9</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氰化物</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10</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氟化物</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11</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885"/>
                    <w:jc w:val="left"/>
                  </w:pPr>
                  <w:r>
                    <w:rPr>
                      <w:rFonts w:ascii="仿宋_GB2312" w:hAnsi="仿宋_GB2312" w:cs="仿宋_GB2312" w:eastAsia="仿宋_GB2312"/>
                      <w:sz w:val="24"/>
                      <w:color w:val="000000"/>
                    </w:rPr>
                    <w:t>硝酸盐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12</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三氯甲烷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13</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24"/>
                      <w:color w:val="000000"/>
                    </w:rPr>
                    <w:t>一氯二溴甲烷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14</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24"/>
                      <w:color w:val="000000"/>
                    </w:rPr>
                    <w:t>二氯一溴甲烷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15</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三溴甲烷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16</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三卤甲烷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17</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二氯乙酸</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18</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三氯乙酸</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19</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885"/>
                    <w:jc w:val="left"/>
                  </w:pPr>
                  <w:r>
                    <w:rPr>
                      <w:rFonts w:ascii="仿宋_GB2312" w:hAnsi="仿宋_GB2312" w:cs="仿宋_GB2312" w:eastAsia="仿宋_GB2312"/>
                      <w:sz w:val="24"/>
                      <w:color w:val="000000"/>
                    </w:rPr>
                    <w:t>溴酸盐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20</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亚氯酸盐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tbl>
            <w:tblPr>
              <w:tblInd w:type="dxa" w:w="105"/>
              <w:tblBorders>
                <w:top w:val="none" w:color="000000" w:sz="4"/>
                <w:left w:val="none" w:color="000000" w:sz="4"/>
                <w:bottom w:val="none" w:color="000000" w:sz="4"/>
                <w:right w:val="none" w:color="000000" w:sz="4"/>
                <w:insideH w:val="none"/>
                <w:insideV w:val="none"/>
              </w:tblBorders>
            </w:tblPr>
            <w:tblGrid>
              <w:gridCol w:w="247"/>
              <w:gridCol w:w="738"/>
              <w:gridCol w:w="849"/>
              <w:gridCol w:w="499"/>
              <w:gridCol w:w="296"/>
              <w:gridCol w:w="548"/>
            </w:tblGrid>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jc w:val="left"/>
                  </w:pPr>
                  <w:r>
                    <w:rPr>
                      <w:rFonts w:ascii="仿宋_GB2312" w:hAnsi="仿宋_GB2312" w:cs="仿宋_GB2312" w:eastAsia="仿宋_GB2312"/>
                      <w:sz w:val="24"/>
                      <w:color w:val="000000"/>
                    </w:rPr>
                    <w:t>21</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氯酸盐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22</w:t>
                  </w:r>
                </w:p>
              </w:tc>
              <w:tc>
                <w:tcPr>
                  <w:tcW w:type="dxa" w:w="73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感官性状和</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一般</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化学指标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20"/>
                    <w:jc w:val="left"/>
                  </w:pPr>
                  <w:r>
                    <w:rPr>
                      <w:rFonts w:ascii="仿宋_GB2312" w:hAnsi="仿宋_GB2312" w:cs="仿宋_GB2312" w:eastAsia="仿宋_GB2312"/>
                      <w:sz w:val="24"/>
                      <w:color w:val="000000"/>
                    </w:rPr>
                    <w:t>色度</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23</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浑浊度</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24</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嗅和味</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25</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75"/>
                    <w:jc w:val="left"/>
                  </w:pPr>
                  <w:r>
                    <w:rPr>
                      <w:rFonts w:ascii="仿宋_GB2312" w:hAnsi="仿宋_GB2312" w:cs="仿宋_GB2312" w:eastAsia="仿宋_GB2312"/>
                      <w:sz w:val="24"/>
                      <w:color w:val="000000"/>
                    </w:rPr>
                    <w:t>肉眼可见物</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26</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45"/>
                    <w:jc w:val="left"/>
                  </w:pPr>
                  <w:r>
                    <w:rPr>
                      <w:rFonts w:ascii="仿宋_GB2312" w:hAnsi="仿宋_GB2312" w:cs="仿宋_GB2312" w:eastAsia="仿宋_GB2312"/>
                      <w:sz w:val="24"/>
                      <w:color w:val="000000"/>
                    </w:rPr>
                    <w:t>PH</w:t>
                  </w:r>
                  <w:r>
                    <w:rPr>
                      <w:rFonts w:ascii="仿宋_GB2312" w:hAnsi="仿宋_GB2312" w:cs="仿宋_GB2312" w:eastAsia="仿宋_GB2312"/>
                      <w:sz w:val="24"/>
                      <w:color w:val="000000"/>
                    </w:rPr>
                    <w:t>.值</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27</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铝</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28</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40"/>
                    <w:jc w:val="left"/>
                  </w:pPr>
                  <w:r>
                    <w:rPr>
                      <w:rFonts w:ascii="仿宋_GB2312" w:hAnsi="仿宋_GB2312" w:cs="仿宋_GB2312" w:eastAsia="仿宋_GB2312"/>
                      <w:sz w:val="24"/>
                      <w:color w:val="000000"/>
                    </w:rPr>
                    <w:t>铁</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29</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猛</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30</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40"/>
                    <w:jc w:val="left"/>
                  </w:pPr>
                  <w:r>
                    <w:rPr>
                      <w:rFonts w:ascii="仿宋_GB2312" w:hAnsi="仿宋_GB2312" w:cs="仿宋_GB2312" w:eastAsia="仿宋_GB2312"/>
                      <w:sz w:val="24"/>
                      <w:color w:val="000000"/>
                    </w:rPr>
                    <w:t>铜</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31</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锌</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32</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氯化物</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33</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885"/>
                    <w:jc w:val="left"/>
                  </w:pPr>
                  <w:r>
                    <w:rPr>
                      <w:rFonts w:ascii="仿宋_GB2312" w:hAnsi="仿宋_GB2312" w:cs="仿宋_GB2312" w:eastAsia="仿宋_GB2312"/>
                      <w:sz w:val="24"/>
                      <w:color w:val="000000"/>
                    </w:rPr>
                    <w:t>硫酸盐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34</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jc w:val="left"/>
                  </w:pPr>
                  <w:r>
                    <w:rPr>
                      <w:rFonts w:ascii="仿宋_GB2312" w:hAnsi="仿宋_GB2312" w:cs="仿宋_GB2312" w:eastAsia="仿宋_GB2312"/>
                      <w:sz w:val="24"/>
                      <w:color w:val="000000"/>
                    </w:rPr>
                    <w:t>溶解性总固体</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35</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总硬度</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36</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24"/>
                      <w:color w:val="000000"/>
                    </w:rPr>
                    <w:t>高猛酸盐指数</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37</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40"/>
                    <w:jc w:val="left"/>
                  </w:pPr>
                  <w:r>
                    <w:rPr>
                      <w:rFonts w:ascii="仿宋_GB2312" w:hAnsi="仿宋_GB2312" w:cs="仿宋_GB2312" w:eastAsia="仿宋_GB2312"/>
                      <w:sz w:val="24"/>
                      <w:color w:val="000000"/>
                    </w:rPr>
                    <w:t>氨</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38</w:t>
                  </w:r>
                </w:p>
              </w:tc>
              <w:tc>
                <w:tcPr>
                  <w:tcW w:type="dxa" w:w="73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消毒剂指标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游离氯</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39</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20"/>
                    <w:jc w:val="left"/>
                  </w:pPr>
                  <w:r>
                    <w:rPr>
                      <w:rFonts w:ascii="仿宋_GB2312" w:hAnsi="仿宋_GB2312" w:cs="仿宋_GB2312" w:eastAsia="仿宋_GB2312"/>
                      <w:sz w:val="24"/>
                      <w:color w:val="000000"/>
                    </w:rPr>
                    <w:t>总氯</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40</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20"/>
                    <w:jc w:val="left"/>
                  </w:pPr>
                  <w:r>
                    <w:rPr>
                      <w:rFonts w:ascii="仿宋_GB2312" w:hAnsi="仿宋_GB2312" w:cs="仿宋_GB2312" w:eastAsia="仿宋_GB2312"/>
                      <w:sz w:val="24"/>
                      <w:color w:val="000000"/>
                    </w:rPr>
                    <w:t>臭氧</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41</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二氧化氯</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42</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95"/>
                    <w:jc w:val="left"/>
                  </w:pPr>
                  <w:r>
                    <w:rPr>
                      <w:rFonts w:ascii="仿宋_GB2312" w:hAnsi="仿宋_GB2312" w:cs="仿宋_GB2312" w:eastAsia="仿宋_GB2312"/>
                      <w:sz w:val="24"/>
                      <w:color w:val="000000"/>
                    </w:rPr>
                    <w:t>放射性指标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60"/>
                    <w:jc w:val="left"/>
                  </w:pPr>
                  <w:r>
                    <w:rPr>
                      <w:rFonts w:ascii="仿宋_GB2312" w:hAnsi="仿宋_GB2312" w:cs="仿宋_GB2312" w:eastAsia="仿宋_GB2312"/>
                      <w:sz w:val="24"/>
                      <w:color w:val="000000"/>
                    </w:rPr>
                    <w:t>总</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α放射性</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tbl>
            <w:tblPr>
              <w:tblInd w:type="dxa" w:w="105"/>
              <w:tblBorders>
                <w:top w:val="none" w:color="000000" w:sz="4"/>
                <w:left w:val="none" w:color="000000" w:sz="4"/>
                <w:bottom w:val="none" w:color="000000" w:sz="4"/>
                <w:right w:val="none" w:color="000000" w:sz="4"/>
                <w:insideH w:val="none"/>
                <w:insideV w:val="none"/>
              </w:tblBorders>
            </w:tblPr>
            <w:tblGrid>
              <w:gridCol w:w="247"/>
              <w:gridCol w:w="738"/>
              <w:gridCol w:w="849"/>
              <w:gridCol w:w="499"/>
              <w:gridCol w:w="296"/>
              <w:gridCol w:w="548"/>
            </w:tblGrid>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jc w:val="left"/>
                  </w:pPr>
                  <w:r>
                    <w:rPr>
                      <w:rFonts w:ascii="仿宋_GB2312" w:hAnsi="仿宋_GB2312" w:cs="仿宋_GB2312" w:eastAsia="仿宋_GB2312"/>
                      <w:sz w:val="24"/>
                      <w:color w:val="000000"/>
                    </w:rPr>
                    <w:t>43</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总</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β放射性</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62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合计</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标的名称：周至县2025年农村饮水水质检测项目二标段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服务要求 ：1、在规定服务期限内，乙方应完成采样，并向甲方出具有效的CMA 认证的样品检验报告。 2、抽样地点：西安市周至县区域水质检测点。 3、检测指标及评价方法标准参考：《生活饮用水卫生标准》GB 5749-2022</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对全县400处供水水源进行检测。检测指标按照《生活饮用水卫生标准》（GB5749-2022）执行为43项。检测结果必须符合《农村饮水安全评价准则》，确保供水水质达标。其中包1涉及东片11镇 252 个水样：分别为广济41个，马召镇42个，二曲街道12个,四屯镇26个，富仁镇21个，楼观镇46个，尚村镇17个，司竹镇20个，终南镇9个，集贤镇11个，九峰镇7个；包2涉及西片9镇148个，分别为板房子镇10个， 陈河镇 5 个，厚畛子镇9个，王家河镇8个； 竹峪镇 46 个，翠峰镇40个，骆峪镇17个，哑柏镇8个，青化镇5个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商务要求1、价款结算：实际检测费用按照实际检测点位及单个监测点位检测单价据实结算。2、服务期限：自合同签订之日起60 日历天，每次检测期限不得超过20 个日历天。其他：如成交供应商提供的采购服务与采购人的采购要求出现偏离，导致无法达到采购人使用要求时，成交供应商有义务对采购服务进行改进，直至达到采购人要求。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color w:val="000000"/>
              </w:rPr>
              <w:t>清</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单</w:t>
            </w:r>
          </w:p>
          <w:tbl>
            <w:tblPr>
              <w:tblInd w:type="dxa" w:w="105"/>
              <w:tblBorders>
                <w:top w:val="none" w:color="000000" w:sz="4"/>
                <w:left w:val="none" w:color="000000" w:sz="4"/>
                <w:bottom w:val="none" w:color="000000" w:sz="4"/>
                <w:right w:val="none" w:color="000000" w:sz="4"/>
                <w:insideH w:val="none"/>
                <w:insideV w:val="none"/>
              </w:tblBorders>
            </w:tblPr>
            <w:tblGrid>
              <w:gridCol w:w="247"/>
              <w:gridCol w:w="738"/>
              <w:gridCol w:w="849"/>
              <w:gridCol w:w="499"/>
              <w:gridCol w:w="296"/>
              <w:gridCol w:w="548"/>
            </w:tblGrid>
            <w:tr>
              <w:tc>
                <w:tcPr>
                  <w:tcW w:type="dxa" w:w="2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35"/>
                    <w:jc w:val="left"/>
                  </w:pPr>
                  <w:r>
                    <w:rPr>
                      <w:rFonts w:ascii="仿宋_GB2312" w:hAnsi="仿宋_GB2312" w:cs="仿宋_GB2312" w:eastAsia="仿宋_GB2312"/>
                      <w:sz w:val="24"/>
                      <w:color w:val="000000"/>
                    </w:rPr>
                    <w:t>序号</w:t>
                  </w:r>
                </w:p>
              </w:tc>
              <w:tc>
                <w:tcPr>
                  <w:tcW w:type="dxa" w:w="7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855"/>
                    <w:jc w:val="left"/>
                  </w:pPr>
                  <w:r>
                    <w:rPr>
                      <w:rFonts w:ascii="仿宋_GB2312" w:hAnsi="仿宋_GB2312" w:cs="仿宋_GB2312" w:eastAsia="仿宋_GB2312"/>
                      <w:sz w:val="24"/>
                      <w:color w:val="000000"/>
                    </w:rPr>
                    <w:t>类别</w:t>
                  </w:r>
                </w:p>
              </w:tc>
              <w:tc>
                <w:tcPr>
                  <w:tcW w:type="dxa" w:w="8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780"/>
                    <w:jc w:val="left"/>
                  </w:pPr>
                  <w:r>
                    <w:rPr>
                      <w:rFonts w:ascii="仿宋_GB2312" w:hAnsi="仿宋_GB2312" w:cs="仿宋_GB2312" w:eastAsia="仿宋_GB2312"/>
                      <w:sz w:val="24"/>
                      <w:color w:val="000000"/>
                    </w:rPr>
                    <w:t>检测项目</w:t>
                  </w:r>
                </w:p>
              </w:tc>
              <w:tc>
                <w:tcPr>
                  <w:tcW w:type="dxa" w:w="4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24"/>
                      <w:color w:val="000000"/>
                    </w:rPr>
                    <w:t>单价</w:t>
                  </w:r>
                </w:p>
                <w:p>
                  <w:pPr>
                    <w:pStyle w:val="null3"/>
                    <w:spacing w:before="90"/>
                    <w:ind w:left="210"/>
                    <w:jc w:val="left"/>
                  </w:pPr>
                  <w:r>
                    <w:rPr>
                      <w:rFonts w:ascii="仿宋_GB2312" w:hAnsi="仿宋_GB2312" w:cs="仿宋_GB2312" w:eastAsia="仿宋_GB2312"/>
                      <w:sz w:val="24"/>
                      <w:color w:val="000000"/>
                    </w:rPr>
                    <w:t>（元</w:t>
                  </w:r>
                  <w:r>
                    <w:rPr>
                      <w:rFonts w:ascii="仿宋_GB2312" w:hAnsi="仿宋_GB2312" w:cs="仿宋_GB2312" w:eastAsia="仿宋_GB2312"/>
                      <w:sz w:val="24"/>
                      <w:color w:val="000000"/>
                    </w:rPr>
                    <w:t>/份）</w:t>
                  </w:r>
                </w:p>
              </w:tc>
              <w:tc>
                <w:tcPr>
                  <w:tcW w:type="dxa" w:w="2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left"/>
                  </w:pPr>
                  <w:r>
                    <w:rPr>
                      <w:rFonts w:ascii="仿宋_GB2312" w:hAnsi="仿宋_GB2312" w:cs="仿宋_GB2312" w:eastAsia="仿宋_GB2312"/>
                      <w:sz w:val="24"/>
                      <w:color w:val="000000"/>
                    </w:rPr>
                    <w:t>样品</w:t>
                  </w:r>
                </w:p>
                <w:p>
                  <w:pPr>
                    <w:pStyle w:val="null3"/>
                    <w:spacing w:before="90"/>
                    <w:ind w:left="210"/>
                    <w:jc w:val="left"/>
                  </w:pPr>
                  <w:r>
                    <w:rPr>
                      <w:rFonts w:ascii="仿宋_GB2312" w:hAnsi="仿宋_GB2312" w:cs="仿宋_GB2312" w:eastAsia="仿宋_GB2312"/>
                      <w:sz w:val="24"/>
                      <w:color w:val="000000"/>
                    </w:rPr>
                    <w:t>数量</w:t>
                  </w:r>
                </w:p>
              </w:tc>
              <w:tc>
                <w:tcPr>
                  <w:tcW w:type="dxa" w:w="5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570"/>
                    <w:jc w:val="left"/>
                  </w:pPr>
                  <w:r>
                    <w:rPr>
                      <w:rFonts w:ascii="仿宋_GB2312" w:hAnsi="仿宋_GB2312" w:cs="仿宋_GB2312" w:eastAsia="仿宋_GB2312"/>
                      <w:sz w:val="24"/>
                      <w:color w:val="000000"/>
                    </w:rPr>
                    <w:t>小计</w:t>
                  </w: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jc w:val="left"/>
                  </w:pPr>
                  <w:r>
                    <w:rPr>
                      <w:rFonts w:ascii="仿宋_GB2312" w:hAnsi="仿宋_GB2312" w:cs="仿宋_GB2312" w:eastAsia="仿宋_GB2312"/>
                      <w:sz w:val="24"/>
                      <w:color w:val="000000"/>
                    </w:rPr>
                    <w:t>1</w:t>
                  </w:r>
                </w:p>
              </w:tc>
              <w:tc>
                <w:tcPr>
                  <w:tcW w:type="dxa" w:w="73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微生物指标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60"/>
                    <w:jc w:val="left"/>
                  </w:pPr>
                  <w:r>
                    <w:rPr>
                      <w:rFonts w:ascii="仿宋_GB2312" w:hAnsi="仿宋_GB2312" w:cs="仿宋_GB2312" w:eastAsia="仿宋_GB2312"/>
                      <w:sz w:val="24"/>
                      <w:color w:val="000000"/>
                    </w:rPr>
                    <w:t>总大肠菌群</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菌落总数</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24"/>
                      <w:color w:val="000000"/>
                    </w:rPr>
                    <w:t>大肠埃希氏菌</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w:t>
                  </w:r>
                </w:p>
              </w:tc>
              <w:tc>
                <w:tcPr>
                  <w:tcW w:type="dxa" w:w="73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毒性指标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5</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镉</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6</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六价铬</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7</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铅</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8</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汞</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9</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氰化物</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10</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氟化物</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11</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885"/>
                    <w:jc w:val="left"/>
                  </w:pPr>
                  <w:r>
                    <w:rPr>
                      <w:rFonts w:ascii="仿宋_GB2312" w:hAnsi="仿宋_GB2312" w:cs="仿宋_GB2312" w:eastAsia="仿宋_GB2312"/>
                      <w:sz w:val="24"/>
                      <w:color w:val="000000"/>
                    </w:rPr>
                    <w:t>硝酸盐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12</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三氯甲烷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13</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24"/>
                      <w:color w:val="000000"/>
                    </w:rPr>
                    <w:t>一氯二溴甲烷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14</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24"/>
                      <w:color w:val="000000"/>
                    </w:rPr>
                    <w:t>二氯一溴甲烷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15</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三溴甲烷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16</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三卤甲烷</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17</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二氯乙酸</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18</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三氯乙酸</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19</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885"/>
                    <w:jc w:val="left"/>
                  </w:pPr>
                  <w:r>
                    <w:rPr>
                      <w:rFonts w:ascii="仿宋_GB2312" w:hAnsi="仿宋_GB2312" w:cs="仿宋_GB2312" w:eastAsia="仿宋_GB2312"/>
                      <w:sz w:val="24"/>
                      <w:color w:val="000000"/>
                    </w:rPr>
                    <w:t>溴酸盐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20</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亚氯酸盐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tbl>
            <w:tblPr>
              <w:tblInd w:type="dxa" w:w="105"/>
              <w:tblBorders>
                <w:top w:val="none" w:color="000000" w:sz="4"/>
                <w:left w:val="none" w:color="000000" w:sz="4"/>
                <w:bottom w:val="none" w:color="000000" w:sz="4"/>
                <w:right w:val="none" w:color="000000" w:sz="4"/>
                <w:insideH w:val="none"/>
                <w:insideV w:val="none"/>
              </w:tblBorders>
            </w:tblPr>
            <w:tblGrid>
              <w:gridCol w:w="247"/>
              <w:gridCol w:w="738"/>
              <w:gridCol w:w="849"/>
              <w:gridCol w:w="499"/>
              <w:gridCol w:w="296"/>
              <w:gridCol w:w="548"/>
            </w:tblGrid>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jc w:val="left"/>
                  </w:pPr>
                  <w:r>
                    <w:rPr>
                      <w:rFonts w:ascii="仿宋_GB2312" w:hAnsi="仿宋_GB2312" w:cs="仿宋_GB2312" w:eastAsia="仿宋_GB2312"/>
                      <w:sz w:val="24"/>
                      <w:color w:val="000000"/>
                    </w:rPr>
                    <w:t>21</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氯酸盐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22</w:t>
                  </w:r>
                </w:p>
              </w:tc>
              <w:tc>
                <w:tcPr>
                  <w:tcW w:type="dxa" w:w="73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感官性状和</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一般</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化学指标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20"/>
                    <w:jc w:val="left"/>
                  </w:pPr>
                  <w:r>
                    <w:rPr>
                      <w:rFonts w:ascii="仿宋_GB2312" w:hAnsi="仿宋_GB2312" w:cs="仿宋_GB2312" w:eastAsia="仿宋_GB2312"/>
                      <w:sz w:val="24"/>
                      <w:color w:val="000000"/>
                    </w:rPr>
                    <w:t>色度</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23</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浑浊度</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24</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嗅和味</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25</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75"/>
                    <w:jc w:val="left"/>
                  </w:pPr>
                  <w:r>
                    <w:rPr>
                      <w:rFonts w:ascii="仿宋_GB2312" w:hAnsi="仿宋_GB2312" w:cs="仿宋_GB2312" w:eastAsia="仿宋_GB2312"/>
                      <w:sz w:val="24"/>
                      <w:color w:val="000000"/>
                    </w:rPr>
                    <w:t>肉眼可见物</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26</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45"/>
                    <w:jc w:val="left"/>
                  </w:pPr>
                  <w:r>
                    <w:rPr>
                      <w:rFonts w:ascii="仿宋_GB2312" w:hAnsi="仿宋_GB2312" w:cs="仿宋_GB2312" w:eastAsia="仿宋_GB2312"/>
                      <w:sz w:val="24"/>
                      <w:color w:val="000000"/>
                    </w:rPr>
                    <w:t>PH</w:t>
                  </w:r>
                  <w:r>
                    <w:rPr>
                      <w:rFonts w:ascii="仿宋_GB2312" w:hAnsi="仿宋_GB2312" w:cs="仿宋_GB2312" w:eastAsia="仿宋_GB2312"/>
                      <w:sz w:val="24"/>
                      <w:color w:val="000000"/>
                    </w:rPr>
                    <w:t>.值</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27</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铝</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28</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40"/>
                    <w:jc w:val="left"/>
                  </w:pPr>
                  <w:r>
                    <w:rPr>
                      <w:rFonts w:ascii="仿宋_GB2312" w:hAnsi="仿宋_GB2312" w:cs="仿宋_GB2312" w:eastAsia="仿宋_GB2312"/>
                      <w:sz w:val="24"/>
                      <w:color w:val="000000"/>
                    </w:rPr>
                    <w:t>铁</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29</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猛</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30</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40"/>
                    <w:jc w:val="left"/>
                  </w:pPr>
                  <w:r>
                    <w:rPr>
                      <w:rFonts w:ascii="仿宋_GB2312" w:hAnsi="仿宋_GB2312" w:cs="仿宋_GB2312" w:eastAsia="仿宋_GB2312"/>
                      <w:sz w:val="24"/>
                      <w:color w:val="000000"/>
                    </w:rPr>
                    <w:t>铜</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31</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25"/>
                    <w:jc w:val="left"/>
                  </w:pPr>
                  <w:r>
                    <w:rPr>
                      <w:rFonts w:ascii="仿宋_GB2312" w:hAnsi="仿宋_GB2312" w:cs="仿宋_GB2312" w:eastAsia="仿宋_GB2312"/>
                      <w:sz w:val="24"/>
                      <w:color w:val="000000"/>
                    </w:rPr>
                    <w:t>锌</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32</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氯化物</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33</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885"/>
                    <w:jc w:val="left"/>
                  </w:pPr>
                  <w:r>
                    <w:rPr>
                      <w:rFonts w:ascii="仿宋_GB2312" w:hAnsi="仿宋_GB2312" w:cs="仿宋_GB2312" w:eastAsia="仿宋_GB2312"/>
                      <w:sz w:val="24"/>
                      <w:color w:val="000000"/>
                    </w:rPr>
                    <w:t>硫酸盐</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34</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25"/>
                    <w:jc w:val="left"/>
                  </w:pPr>
                  <w:r>
                    <w:rPr>
                      <w:rFonts w:ascii="仿宋_GB2312" w:hAnsi="仿宋_GB2312" w:cs="仿宋_GB2312" w:eastAsia="仿宋_GB2312"/>
                      <w:sz w:val="24"/>
                      <w:color w:val="000000"/>
                    </w:rPr>
                    <w:t>溶解性总固体</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35</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总硬度</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36</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24"/>
                      <w:color w:val="000000"/>
                    </w:rPr>
                    <w:t>高猛酸盐指数</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37</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140"/>
                    <w:jc w:val="left"/>
                  </w:pPr>
                  <w:r>
                    <w:rPr>
                      <w:rFonts w:ascii="仿宋_GB2312" w:hAnsi="仿宋_GB2312" w:cs="仿宋_GB2312" w:eastAsia="仿宋_GB2312"/>
                      <w:sz w:val="24"/>
                      <w:color w:val="000000"/>
                    </w:rPr>
                    <w:t>氨</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38</w:t>
                  </w:r>
                </w:p>
              </w:tc>
              <w:tc>
                <w:tcPr>
                  <w:tcW w:type="dxa" w:w="73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消毒剂指标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900"/>
                    <w:jc w:val="left"/>
                  </w:pPr>
                  <w:r>
                    <w:rPr>
                      <w:rFonts w:ascii="仿宋_GB2312" w:hAnsi="仿宋_GB2312" w:cs="仿宋_GB2312" w:eastAsia="仿宋_GB2312"/>
                      <w:sz w:val="24"/>
                      <w:color w:val="000000"/>
                    </w:rPr>
                    <w:t>游离氯</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39</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20"/>
                    <w:jc w:val="left"/>
                  </w:pPr>
                  <w:r>
                    <w:rPr>
                      <w:rFonts w:ascii="仿宋_GB2312" w:hAnsi="仿宋_GB2312" w:cs="仿宋_GB2312" w:eastAsia="仿宋_GB2312"/>
                      <w:sz w:val="24"/>
                      <w:color w:val="000000"/>
                    </w:rPr>
                    <w:t>总氯</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40</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20"/>
                    <w:jc w:val="left"/>
                  </w:pPr>
                  <w:r>
                    <w:rPr>
                      <w:rFonts w:ascii="仿宋_GB2312" w:hAnsi="仿宋_GB2312" w:cs="仿宋_GB2312" w:eastAsia="仿宋_GB2312"/>
                      <w:sz w:val="24"/>
                      <w:color w:val="000000"/>
                    </w:rPr>
                    <w:t>臭氧</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41</w:t>
                  </w:r>
                </w:p>
              </w:tc>
              <w:tc>
                <w:tcPr>
                  <w:tcW w:type="dxa" w:w="738"/>
                  <w:vMerge/>
                  <w:tcBorders>
                    <w:top w:val="none" w:color="000000" w:sz="4"/>
                    <w:left w:val="single" w:color="000000" w:sz="4"/>
                    <w:bottom w:val="none" w:color="000000" w:sz="4"/>
                    <w:right w:val="single" w:color="000000" w:sz="4"/>
                  </w:tcBorders>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780"/>
                    <w:jc w:val="left"/>
                  </w:pPr>
                  <w:r>
                    <w:rPr>
                      <w:rFonts w:ascii="仿宋_GB2312" w:hAnsi="仿宋_GB2312" w:cs="仿宋_GB2312" w:eastAsia="仿宋_GB2312"/>
                      <w:sz w:val="24"/>
                      <w:color w:val="000000"/>
                    </w:rPr>
                    <w:t>二氧化氯</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42</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95"/>
                    <w:jc w:val="left"/>
                  </w:pPr>
                  <w:r>
                    <w:rPr>
                      <w:rFonts w:ascii="仿宋_GB2312" w:hAnsi="仿宋_GB2312" w:cs="仿宋_GB2312" w:eastAsia="仿宋_GB2312"/>
                      <w:sz w:val="24"/>
                      <w:color w:val="000000"/>
                    </w:rPr>
                    <w:t>放射性指标</w:t>
                  </w: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60"/>
                    <w:jc w:val="left"/>
                  </w:pPr>
                  <w:r>
                    <w:rPr>
                      <w:rFonts w:ascii="仿宋_GB2312" w:hAnsi="仿宋_GB2312" w:cs="仿宋_GB2312" w:eastAsia="仿宋_GB2312"/>
                      <w:sz w:val="24"/>
                      <w:color w:val="000000"/>
                    </w:rPr>
                    <w:t>总</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α放射性</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tbl>
            <w:tblPr>
              <w:tblInd w:type="dxa" w:w="105"/>
              <w:tblBorders>
                <w:top w:val="none" w:color="000000" w:sz="4"/>
                <w:left w:val="none" w:color="000000" w:sz="4"/>
                <w:bottom w:val="none" w:color="000000" w:sz="4"/>
                <w:right w:val="none" w:color="000000" w:sz="4"/>
                <w:insideH w:val="none"/>
                <w:insideV w:val="none"/>
              </w:tblBorders>
            </w:tblPr>
            <w:tblGrid>
              <w:gridCol w:w="247"/>
              <w:gridCol w:w="738"/>
              <w:gridCol w:w="849"/>
              <w:gridCol w:w="499"/>
              <w:gridCol w:w="296"/>
              <w:gridCol w:w="548"/>
            </w:tblGrid>
            <w:tr>
              <w:tc>
                <w:tcPr>
                  <w:tcW w:type="dxa" w:w="2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jc w:val="left"/>
                  </w:pPr>
                  <w:r>
                    <w:rPr>
                      <w:rFonts w:ascii="仿宋_GB2312" w:hAnsi="仿宋_GB2312" w:cs="仿宋_GB2312" w:eastAsia="仿宋_GB2312"/>
                      <w:sz w:val="24"/>
                      <w:color w:val="000000"/>
                    </w:rPr>
                    <w:t>43</w:t>
                  </w:r>
                </w:p>
              </w:tc>
              <w:tc>
                <w:tcPr>
                  <w:tcW w:type="dxa" w:w="7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总</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β放射性</w:t>
                  </w:r>
                </w:p>
              </w:tc>
              <w:tc>
                <w:tcPr>
                  <w:tcW w:type="dxa" w:w="4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r>
              <w:tc>
                <w:tcPr>
                  <w:tcW w:type="dxa" w:w="262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合计</w:t>
                  </w:r>
                </w:p>
              </w:tc>
              <w:tc>
                <w:tcPr>
                  <w:tcW w:type="dxa" w:w="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服务标准：满足项目采购需求 服务范围：竞争性磋商文件范围内的全部内容。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服务标准：满足项目采购需求 服务范围：竞争性磋商文件范围内的全部内容。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建设单位指定地点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建设单位指定地点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检测指标按照《生活饮用水卫生标准》（GB5749-2022）执行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检测指标按照《生活饮用水卫生标准》（GB5749-2022）执行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水质取样全部完成后，水样全部送实验室</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乙方完成所有合同内容并提供相关报告及资料，经评审中心或审计完成后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水质取样全部完成后，水样全部送实验室</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乙方完成所有合同内容并提供相关报告及资料，经评审中心或审计完成后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执行《通用条款》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执行《通用条款》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本项目属于其他为列明行业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提供2023年度或2024年度经审计的财务报告;成立时间至提交响应文件截止时间不足或基本存款账户开户银行出具的资信证明年的可提供成立后任意时段的资产负债表)(资信证明需提供 投标截止时间前6个月内)及基本存款账户开户许可证(基本账户信息)；注:成立时间至提交投标文件截止时间不足一年的可提供成立后任意时段的资产负债表)。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提供2023年度或2024年度经审计的财务报告;成立时间至提交响应文件截止时间不足或基本存款账户开户银行出具的资信证明年的可提供成立后任意时段的资产负债表)(资信证明需提供 投标截止时间前6个月内)及基本存款账户开户许可证(基本账户信息)；注:成立时间至提交投标文件截止时间不足一年的可提供成立后任意时段的资产负债表)。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资质能力</w:t>
            </w:r>
          </w:p>
        </w:tc>
        <w:tc>
          <w:tcPr>
            <w:tcW w:type="dxa" w:w="3322"/>
          </w:tcPr>
          <w:p>
            <w:pPr>
              <w:pStyle w:val="null3"/>
            </w:pPr>
            <w:r>
              <w:rPr>
                <w:rFonts w:ascii="仿宋_GB2312" w:hAnsi="仿宋_GB2312" w:cs="仿宋_GB2312" w:eastAsia="仿宋_GB2312"/>
              </w:rPr>
              <w:t>供应商应具备省级或省级以上计量主管单位核发的 CMA 认证证书，同时应具备《生活饮用水卫生标准》（GB5749-2022）检测能力；</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供应商不得为“信用中国”网站(wn, creditchina.ov.cn)列入“失信被执行人(页面跳转至“中国执行信息公开网”http;/zxgk.court.gov.cn/shixin/)、重大税收违法失信主体、政府采购严重违法失信行为记录名单”的供应商;不得为中国政府采败网(http://wnnw.ccgp.gov.cn)“政府采购严重违法失信行为记录名单”中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联合体磋商要求</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资质能力</w:t>
            </w:r>
          </w:p>
        </w:tc>
        <w:tc>
          <w:tcPr>
            <w:tcW w:type="dxa" w:w="3322"/>
          </w:tcPr>
          <w:p>
            <w:pPr>
              <w:pStyle w:val="null3"/>
            </w:pPr>
            <w:r>
              <w:rPr>
                <w:rFonts w:ascii="仿宋_GB2312" w:hAnsi="仿宋_GB2312" w:cs="仿宋_GB2312" w:eastAsia="仿宋_GB2312"/>
              </w:rPr>
              <w:t>供应商应具备省级或省级以上计量主管单位核发的 CMA 认证证书，同时应具备《生活饮用水卫生标准》（GB5749-2022）检测能力；</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供应商不得为“信用中国”网站(wn, creditchina.ov.cn)列入“失信被执行人(页面跳转至“中国执行信息公开网”http;/zxgk.court.gov.cn/shixin/)、重大税收违法失信主体、政府采购严重违法失信行为记录名单”的供应商;不得为中国政府采败网(http://wnnw.ccgp.gov.cn)“政府采购严重违法失信行为记录名单”中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联合体磋商要求</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相关资格证明材料.docx 响应文件封面 分项报价表.docx 残疾人福利性单位声明函 标的清单 响应函 服务方案.docx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相关资格证明材料.docx 响应文件封面 分项报价表.docx 残疾人福利性单位声明函 标的清单 响应函 服务方案.docx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1、服务整体方案详细、合理、针对性强、内容全面与项目 实际结合紧密，对项目具有高度指导性，且工作依据、 执行标准、规范规程明确，服务内容完整，技术方法、 方案具体详细、切实可行，工作思路清晰、计划科学合 理、安排紧凑得当得 12 分；2、服务整体方案较为详细、 内容基本全面，得 8 分；方案内容有缺项、内容过于简单，科学性、合理性、可行性与本项目关联性小计 4 分；4、服务方案有重大缺失，或者描述不详细不具体，得 2分；5、未提供方案计0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采样实施方案</w:t>
            </w:r>
          </w:p>
        </w:tc>
        <w:tc>
          <w:tcPr>
            <w:tcW w:type="dxa" w:w="2492"/>
          </w:tcPr>
          <w:p>
            <w:pPr>
              <w:pStyle w:val="null3"/>
            </w:pPr>
            <w:r>
              <w:rPr>
                <w:rFonts w:ascii="仿宋_GB2312" w:hAnsi="仿宋_GB2312" w:cs="仿宋_GB2312" w:eastAsia="仿宋_GB2312"/>
              </w:rPr>
              <w:t>优良标准：具有详细的样品采集、存储与运输方案，包 括样品检测的时效性保障措施及可提供的各种便利化服 务等。方案及措施合理可行，并具有较强的可实施性， 满足样品进入实验室实施检测的时间≤6 小时，微生物样 品进入实验室实施检测的时间≤4 小时；得 6分； 一般标准：提供的样品采集、存储与运输方案，包括样 品检测的时效性保障措施及可提供的各种便利化服务 等。方案及措施基本满足项目需要，可实施性一般，样 品进入实验室实施检测的时间在＞6~≤10 小时之间，微 生物样品进入实验室实施检测的时间在＞4~≤6 小时之 间；得 3分； 差标准：提供的样品采集、存储与运输方案，包括样品 检测的时效性保障措施及可提供的各种便利化服务等。 方案及措施缺失，不满足项目需要，无可实施性，样品 进入实验室实施检测的时间＞10 小时，微生物样品进入 实验室实施检测的时间＞6 小时。得 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优良标准：根据本项目采购服务内容及要求编制，方案 应包含检测方案、检测进度保证措施、检测结果质量保 证措施、预防性管理方法、报告送达时间等内容，内容全面详尽，具有较强的可实施性，完全满足采购需求。 得 12 分； 一般标准：根据本项目采购服务内容及要求编制，方案 应包含检测方案、检测进度保证措施、检测结果质量保 证措施、预防性管理方法、报告送达时间等内容，内容 不全（缺少 1 项方案内容），可实施性一般，基本满足 采购需求。得 8 分； 差标准：根据本项目采购服务内容及要求编制，方案应 包含检测方案、检测进度保证措施、检测结果质量保证 措施、预防性管理方法、报告送达时间等内容，内容不 全（缺少 2 项及以上方案内容），可实施性差，不满足 采购需求。得 4 分； 未提供方案得0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应急检测方案</w:t>
            </w:r>
          </w:p>
        </w:tc>
        <w:tc>
          <w:tcPr>
            <w:tcW w:type="dxa" w:w="2492"/>
          </w:tcPr>
          <w:p>
            <w:pPr>
              <w:pStyle w:val="null3"/>
            </w:pPr>
            <w:r>
              <w:rPr>
                <w:rFonts w:ascii="仿宋_GB2312" w:hAnsi="仿宋_GB2312" w:cs="仿宋_GB2312" w:eastAsia="仿宋_GB2312"/>
              </w:rPr>
              <w:t>优良标准：有应急检测方案，可应对随时可能发生的风 险并提出解决措施，措施合理可行。得8分 ；一般标准：有应急检测方案，对可能发生的风险提出解决措施基本可行。得5分； 差标准：无应急检测方案或应急检测方案不可行。得3分；未提供得0分。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项目人员组织安排</w:t>
            </w:r>
          </w:p>
        </w:tc>
        <w:tc>
          <w:tcPr>
            <w:tcW w:type="dxa" w:w="2492"/>
          </w:tcPr>
          <w:p>
            <w:pPr>
              <w:pStyle w:val="null3"/>
            </w:pPr>
            <w:r>
              <w:rPr>
                <w:rFonts w:ascii="仿宋_GB2312" w:hAnsi="仿宋_GB2312" w:cs="仿宋_GB2312" w:eastAsia="仿宋_GB2312"/>
              </w:rPr>
              <w:t>优良标准：有完善的项目人员组织方案，人员设置及人员分工安排合理、职责划分明确，具备能承担检验检测任务的专业人员，完全满足采购需求；得 12 分； 一般标准：项目人员组织方案基本可行，人员设置及人 员分工安排不够清晰、职责划分不够明确，承担检验检 测任务的专业人员基本满足采购需求；8 分； 差标准：项目人员组织方案不可行，人员设置及人员分工安排不清晰、职责划分不明确，承担检验检测任务的 专业人员不满足采购需求；得 4 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（1）供应商投入的设备、工具、机具配置专业合理，满 足服务要求检测设备：相关设备包括但不限于：电感耦合等离子质 谱仪（ICP-MS）、气质联用仪、液相色谱仪、气相色谱 仪、离子色谱仪等（注：相关仪器应提供实物图片及检 定校准合格证书等证明资料的复印件加盖供应商公章）得 8 分；设备、工具、机具配置基本合理、科学，能满足项目要求 得 4 分；服务器材、设备配置不够充分、不够科学、合理且设备老旧得2分；未提供得0分。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针对本项目质量保证措施方案（包括检测标准、组织机构保障、拟投入的财务物力保障、关键环节和重点工作的保障等内容），各供应商的成果质量目标、所需资料清单内容的保证措施及政策建议是否切合实际、符合采购需求。 1.质量控制有总目标，质量保障体系措施完善具有可行性、对各阶段的质量进行了准确的目标分解、对质量控制各分解目标有明确的控制点且合理。目标明确且资料清单内容完整根据响应情况得12分。 2.方案较完整，质量保证措施内容明确，基本保证质量保证需求，根据响应情况得8分。 3、方案有部分欠缺，保障措施较为完整，整体方案及措施基本可行得4分；4.方案有明显缺漏项，不能完全保证服务期内质量保证需求，可操作性较差，根据响应情况得2分；5、未提供得0分。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本项目实际需求提供实质性服务承诺，确有利于本项目的实施及后续服务，服务内容全面合理，实施性强计10分；2、供应商的服务承诺内容基本完整、措施基本可行计7分；3、供应商的服务承诺内容有缺项、措施基本可行、实施性一般计4分。4、供应商的服务承诺内容有重大缺项、实施性差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 2022 年 7月 1 日起至今)具有一个 类似项目业绩计 2 分。最高 10 分。提供合同主要条款复印件，时间以合同签订时间为准。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 磋商报价得分=(磋商基准价/最后磋商报价)X价格分值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1、服务整体方案详细、合理、针对性强、内容全面与项目 实际结合紧密，对项目具有高度指导性，且工作依据、 执行标准、规范规程明确，服务内容完整，技术方法、 方案具体详细、切实可行，工作思路清晰、计划科学合 理、安排紧凑得当得 12 分；2、服务整体方案较为详细、 内容基本全面，得 8 分；方案内容有缺项、内容过于简单，科学性、合理性、可行性与本项目关联性小计 4 分；4、服务方案有重大缺失，或者描述不详细不具体，得 2分；5、未提供方案计0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采样实施方案</w:t>
            </w:r>
          </w:p>
        </w:tc>
        <w:tc>
          <w:tcPr>
            <w:tcW w:type="dxa" w:w="2492"/>
          </w:tcPr>
          <w:p>
            <w:pPr>
              <w:pStyle w:val="null3"/>
            </w:pPr>
            <w:r>
              <w:rPr>
                <w:rFonts w:ascii="仿宋_GB2312" w:hAnsi="仿宋_GB2312" w:cs="仿宋_GB2312" w:eastAsia="仿宋_GB2312"/>
              </w:rPr>
              <w:t>优良标准：具有详细的样品采集、存储与运输方案，包 括样品检测的时效性保障措施及可提供的各种便利化服 务等。方案及措施合理可行，并具有较强的可实施性， 满足样品进入实验室实施检测的时间≤6 小时，微生物样 品进入实验室实施检测的时间≤4 小时；得 6分； 一般标准：提供的样品采集、存储与运输方案，包括样 品检测的时效性保障措施及可提供的各种便利化服务 等。方案及措施基本满足项目需要，可实施性一般，样 品进入实验室实施检测的时间在＞6~≤10 小时之间，微 生物样品进入实验室实施检测的时间在＞4~≤6 小时之 间；得 3分； 差标准：提供的样品采集、存储与运输方案，包括样品 检测的时效性保障措施及可提供的各种便利化服务等。 方案及措施缺失，不满足项目需要，无可实施性，样品 进入实验室实施检测的时间＞10 小时，微生物样品进入 实验室实施检测的时间＞6 小时。得 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优良标准：根据本项目采购服务内容及要求编制，方案 应包含检测方案、检测进度保证措施、检测结果质量保 证措施、预防性管理方法、报告送达时间等内容，内容全面详尽，具有较强的可实施性，完全满足采购需求。 得 12 分； 一般标准：根据本项目采购服务内容及要求编制，方案 应包含检测方案、检测进度保证措施、检测结果质量保 证措施、预防性管理方法、报告送达时间等内容，内容 不全（缺少 1 项方案内容），可实施性一般，基本满足 采购需求。得 8 分； 差标准：根据本项目采购服务内容及要求编制，方案应 包含检测方案、检测进度保证措施、检测结果质量保证 措施、预防性管理方法、报告送达时间等内容，内容不 全（缺少 2 项及以上方案内容），可实施性差，不满足 采购需求。得 4 分； 未提供方案得0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应急检测方案</w:t>
            </w:r>
          </w:p>
        </w:tc>
        <w:tc>
          <w:tcPr>
            <w:tcW w:type="dxa" w:w="2492"/>
          </w:tcPr>
          <w:p>
            <w:pPr>
              <w:pStyle w:val="null3"/>
            </w:pPr>
            <w:r>
              <w:rPr>
                <w:rFonts w:ascii="仿宋_GB2312" w:hAnsi="仿宋_GB2312" w:cs="仿宋_GB2312" w:eastAsia="仿宋_GB2312"/>
              </w:rPr>
              <w:t>优良标准：有应急检测方案，可应对随时可能发生的风 险并提出解决措施，措施合理可行。得8分 ；一般标准：有应急检测方案，对可能发生的风险提出解决措施基本可行。得5分； 差标准：无应急检测方案或应急检测方案不可行。得3分；未提供得0分。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项目人员组织安排</w:t>
            </w:r>
          </w:p>
        </w:tc>
        <w:tc>
          <w:tcPr>
            <w:tcW w:type="dxa" w:w="2492"/>
          </w:tcPr>
          <w:p>
            <w:pPr>
              <w:pStyle w:val="null3"/>
            </w:pPr>
            <w:r>
              <w:rPr>
                <w:rFonts w:ascii="仿宋_GB2312" w:hAnsi="仿宋_GB2312" w:cs="仿宋_GB2312" w:eastAsia="仿宋_GB2312"/>
              </w:rPr>
              <w:t>优良标准：有完善的项目人员组织方案，人员设置及人员分工安排合理、职责划分明确，具备能承担检验检测任务的专业人员，完全满足采购需求；得 12 分； 一般标准：项目人员组织方案基本可行，人员设置及人 员分工安排不够清晰、职责划分不够明确，承担检验检 测任务的专业人员基本满足采购需求；8 分； 差标准：项目人员组织方案不可行，人员设置及人员分工安排不清晰、职责划分不明确，承担检验检测任务的 专业人员不满足采购需求；得 4 分；未提供得0分。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（1）供应商投入的设备、工具、机具配置专业合理，满 足服务要求检测设备：相关设备包括但不限于：电感耦合等离子质 谱仪（ICP-MS）、气质联用仪、液相色谱仪、气相色谱 仪、离子色谱仪等（注：相关仪器应提供实物图片及检 定校准合格证书等证明资料的复印件加盖供应商公章）得 8 分；设备、工具、机具配置基本合理、科学，能满足项目要求 得 4 分；服务器材、设备配置不够充分、不够科学、合理且设备老旧得2分；未提供得0分。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质量保证措施方案（包括检测标准、组织机构保障、拟投入的财务物力保障、关键环节和重点工作的保障等内容），各供应商的成果质量目标、所需资料清单内容的保证措施及政策建议是否切合实际、符合采购需求。 1.质量控制有总目标，质量保障体系措施完善具有可行性、对各阶段的质量进行了准确的目标分解、对质量控制各分解目标有明确的控制点且合理。目标明确且资料清单内容完整根据响应情况得12分。 2.方案较完整，质量保证措施内容明确，基本保证质量保证需求，根据响应情况得8分。 3、方案有部分欠缺，保障措施较为完整，整体方案及措施基本可行得4分；4.方案有明显缺漏项，不能完全保证服务期内质量保证需求，可操作性较差，根据响应情况得2分；5、未提供得0分。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本项目实际需求提供实质性服务承诺，确有利于本项目的实施及后续服务，服务内容全面合理，实施性强计10分；2、供应商的服务承诺内容基本完整、措施基本可行计7分；3、供应商的服务承诺内容有缺项、措施基本可行、实施性一般计4分。4、供应商的服务承诺内容有重大缺项、实施性差计2分。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 2022 年 7月 1 日起至今)具有一个 类似项目业绩计 2 分。最高 10 分。提供合同主要条款复印件，时间以合同签订时间为准。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 磋商报价得分=(磋商基准价/最后磋商报价)X价格分值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详见附件：水质检测合同模板.docx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