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(1)</w:t>
      </w:r>
      <w:r>
        <w:rPr>
          <w:rFonts w:hint="eastAsia" w:ascii="宋体" w:hAnsi="宋体" w:eastAsia="宋体" w:cs="宋体"/>
          <w:color w:val="auto"/>
          <w:highlight w:val="none"/>
        </w:rPr>
        <w:t>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color w:val="auto"/>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(2)</w:t>
      </w:r>
      <w:r>
        <w:rPr>
          <w:rFonts w:hint="eastAsia" w:ascii="宋体" w:hAnsi="宋体" w:eastAsia="宋体" w:cs="宋体"/>
          <w:color w:val="auto"/>
          <w:highlight w:val="none"/>
        </w:rPr>
        <w:t>提供2023年度或2024年度经审计的财务报告;成立时间至提交响应文件截止时间不足或基本存款账户开户银行出具的资信证明年的可提供成立后任意时段的资产负债表)(资信证明需提供 投标截止时间前6个月内)及基本存款账户开户许可证(基本账户信息)；注:成立时间至提交投标文件截止时间不足一年的可提供成立后任意时段的资产负债表)。</w:t>
      </w:r>
      <w:r>
        <w:rPr>
          <w:rFonts w:hint="eastAsia" w:ascii="宋体" w:hAnsi="宋体" w:eastAsia="宋体" w:cs="宋体"/>
          <w:color w:val="auto"/>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(3)</w:t>
      </w:r>
      <w:r>
        <w:rPr>
          <w:rFonts w:hint="eastAsia" w:ascii="宋体" w:hAnsi="宋体" w:eastAsia="宋体" w:cs="宋体"/>
          <w:color w:val="auto"/>
          <w:highlight w:val="none"/>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(4)</w:t>
      </w:r>
      <w:r>
        <w:rPr>
          <w:rFonts w:hint="eastAsia" w:ascii="宋体" w:hAnsi="宋体" w:eastAsia="宋体" w:cs="宋体"/>
          <w:color w:val="auto"/>
          <w:highlight w:val="none"/>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(5)</w:t>
      </w:r>
      <w:r>
        <w:rPr>
          <w:rFonts w:hint="eastAsia" w:ascii="宋体" w:hAnsi="宋体" w:eastAsia="宋体" w:cs="宋体"/>
          <w:color w:val="auto"/>
          <w:highlight w:val="none"/>
        </w:rPr>
        <w:t>提供参加政府采购活动前三年内，在经营活动中没有重大违法记录的书面声明</w:t>
      </w:r>
      <w:r>
        <w:rPr>
          <w:rFonts w:hint="eastAsia" w:ascii="宋体" w:hAnsi="宋体" w:eastAsia="宋体" w:cs="宋体"/>
          <w:color w:val="auto"/>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(6)</w:t>
      </w:r>
      <w:r>
        <w:rPr>
          <w:rFonts w:hint="eastAsia" w:ascii="宋体" w:hAnsi="宋体" w:eastAsia="宋体" w:cs="宋体"/>
          <w:color w:val="auto"/>
          <w:highlight w:val="none"/>
        </w:rPr>
        <w:t>具有履行合同所必需的设备和专业技术能力的书面声明</w:t>
      </w:r>
      <w:r>
        <w:rPr>
          <w:rFonts w:hint="eastAsia" w:ascii="宋体" w:hAnsi="宋体" w:eastAsia="宋体" w:cs="宋体"/>
          <w:color w:val="auto"/>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(7)</w:t>
      </w:r>
      <w:r>
        <w:rPr>
          <w:rFonts w:hint="eastAsia" w:ascii="宋体" w:hAnsi="宋体" w:eastAsia="宋体" w:cs="宋体"/>
          <w:color w:val="auto"/>
          <w:highlight w:val="none"/>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zh-CN" w:eastAsia="zh-CN"/>
        </w:rPr>
        <w:t>（8）</w:t>
      </w:r>
      <w:r>
        <w:rPr>
          <w:rFonts w:hint="eastAsia" w:cs="宋体"/>
          <w:color w:val="auto"/>
          <w:highlight w:val="none"/>
          <w:lang w:val="en-US" w:eastAsia="zh-CN"/>
        </w:rPr>
        <w:t>供应商资格要求：供应商供应商应具备省级或省级以上计量主管单位核发的 CMA 认证证书，同时应具备《生活饮用水卫生标准》（GB5749-2022）检测能力。</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cs="宋体"/>
          <w:color w:val="auto"/>
          <w:highlight w:val="none"/>
          <w:lang w:eastAsia="zh-CN"/>
        </w:rPr>
        <w:t>（</w:t>
      </w:r>
      <w:r>
        <w:rPr>
          <w:rFonts w:hint="eastAsia" w:cs="宋体"/>
          <w:color w:val="auto"/>
          <w:highlight w:val="none"/>
          <w:lang w:val="en-US" w:eastAsia="zh-CN"/>
        </w:rPr>
        <w:t>9</w:t>
      </w:r>
      <w:r>
        <w:rPr>
          <w:rFonts w:hint="eastAsia" w:cs="宋体"/>
          <w:color w:val="auto"/>
          <w:highlight w:val="none"/>
          <w:lang w:eastAsia="zh-CN"/>
        </w:rPr>
        <w:t>）</w:t>
      </w:r>
      <w:r>
        <w:rPr>
          <w:rFonts w:hint="eastAsia" w:ascii="宋体" w:hAnsi="宋体" w:eastAsia="宋体" w:cs="宋体"/>
          <w:color w:val="auto"/>
          <w:highlight w:val="none"/>
        </w:rPr>
        <w:t>供应商不得为“信用中国”网站(wn, creditchina.ov.cn)列入“失信被执行人(页面跳转至“中国执行信息公开网”http;/zxgk.court.gov.cn/shixin/)、重大税收违法失信主体、政府采购严重违法失信行为记录名单”的供应商;不得为中国政府采败网(http://wnnw.ccgp.gov.cn)“政府采购严重违法失信行为记录名单”中的供应商</w:t>
      </w:r>
      <w:r>
        <w:rPr>
          <w:rFonts w:hint="eastAsia" w:ascii="宋体" w:hAnsi="宋体" w:eastAsia="宋体" w:cs="宋体"/>
          <w:color w:val="auto"/>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rPr>
        <w:t>单位负责人为同一人或者存在控股、管理关系的不同单位，不得参加同一合同包下的政府采购活动</w:t>
      </w:r>
      <w:r>
        <w:rPr>
          <w:rFonts w:hint="eastAsia" w:ascii="宋体" w:hAnsi="宋体" w:eastAsia="宋体" w:cs="宋体"/>
          <w:color w:val="auto"/>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lang w:val="en-US" w:eastAsia="zh-CN"/>
        </w:rPr>
        <w:t>1</w:t>
      </w:r>
      <w:r>
        <w:rPr>
          <w:rFonts w:hint="eastAsia" w:cs="宋体"/>
          <w:color w:val="auto"/>
          <w:highlight w:val="none"/>
          <w:lang w:val="en-US" w:eastAsia="zh-CN"/>
        </w:rPr>
        <w:t>0</w:t>
      </w: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rPr>
        <w:t>本次磋商不接受联合体磋商</w:t>
      </w:r>
      <w:r>
        <w:rPr>
          <w:rFonts w:hint="eastAsia" w:ascii="宋体" w:hAnsi="宋体" w:eastAsia="宋体" w:cs="宋体"/>
          <w:color w:val="auto"/>
          <w:highlight w:val="none"/>
          <w:lang w:val="zh-CN" w:eastAsia="zh-CN"/>
        </w:rPr>
        <w:t>（提供承诺书） 。</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BC7C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E3F98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5EE35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bookmarkStart w:id="46" w:name="_GoBack"/>
      <w:bookmarkEnd w:id="46"/>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20662"/>
      <w:bookmarkStart w:id="1" w:name="_Toc9165"/>
      <w:bookmarkStart w:id="2" w:name="_Toc25524"/>
      <w:bookmarkStart w:id="3" w:name="_Toc4561"/>
      <w:bookmarkStart w:id="4" w:name="_Toc1517"/>
      <w:bookmarkStart w:id="5" w:name="_Toc15868"/>
      <w:bookmarkStart w:id="6" w:name="_Toc7084"/>
      <w:bookmarkStart w:id="7" w:name="_Toc3233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22023"/>
      <w:bookmarkStart w:id="9" w:name="_Toc10651"/>
      <w:bookmarkStart w:id="10" w:name="_Toc26760"/>
      <w:bookmarkStart w:id="11" w:name="_Toc952"/>
      <w:bookmarkStart w:id="12" w:name="_Toc21260"/>
      <w:bookmarkStart w:id="13" w:name="_Toc15131"/>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18882"/>
      <w:bookmarkStart w:id="15" w:name="_Toc13961"/>
      <w:bookmarkStart w:id="16" w:name="_Toc21910"/>
      <w:bookmarkStart w:id="17" w:name="_Toc24547"/>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22198"/>
      <w:bookmarkStart w:id="19" w:name="_Toc23557"/>
      <w:bookmarkStart w:id="20" w:name="_Toc31865"/>
      <w:bookmarkStart w:id="21" w:name="_Toc483349441"/>
      <w:bookmarkStart w:id="22" w:name="_Toc29613"/>
      <w:bookmarkStart w:id="23" w:name="_Toc6945"/>
      <w:bookmarkStart w:id="24" w:name="_Toc14081"/>
      <w:bookmarkStart w:id="25" w:name="_Toc13597"/>
      <w:bookmarkStart w:id="26" w:name="_Toc26738"/>
      <w:bookmarkStart w:id="27" w:name="_Toc12905"/>
      <w:bookmarkStart w:id="28" w:name="_Toc22704"/>
      <w:bookmarkStart w:id="29" w:name="_Toc29800"/>
      <w:bookmarkStart w:id="30" w:name="_Toc19326"/>
      <w:bookmarkStart w:id="31" w:name="_Toc18044"/>
      <w:bookmarkStart w:id="32" w:name="_Toc13312"/>
      <w:bookmarkStart w:id="33" w:name="_Toc17482"/>
      <w:bookmarkStart w:id="34" w:name="_Toc9004"/>
      <w:bookmarkStart w:id="35" w:name="_Toc12408"/>
      <w:bookmarkStart w:id="36" w:name="_Toc21050"/>
      <w:bookmarkStart w:id="37" w:name="_Toc15591"/>
      <w:bookmarkStart w:id="38" w:name="_Toc17265"/>
      <w:bookmarkStart w:id="39" w:name="_Toc31501"/>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15794"/>
      <w:bookmarkStart w:id="41" w:name="_Toc26876"/>
      <w:bookmarkStart w:id="42" w:name="_Toc4050"/>
      <w:bookmarkStart w:id="43" w:name="_Toc5624"/>
      <w:bookmarkStart w:id="44" w:name="_Toc7264"/>
      <w:bookmarkStart w:id="45" w:name="_Toc2556"/>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CF930AC"/>
    <w:rsid w:val="0E1D4D7D"/>
    <w:rsid w:val="0E9877E2"/>
    <w:rsid w:val="129A6BCC"/>
    <w:rsid w:val="12E34F1A"/>
    <w:rsid w:val="136A0736"/>
    <w:rsid w:val="21D342CD"/>
    <w:rsid w:val="25453ACD"/>
    <w:rsid w:val="28F827CB"/>
    <w:rsid w:val="2B3848E8"/>
    <w:rsid w:val="2E8E6176"/>
    <w:rsid w:val="34392ECD"/>
    <w:rsid w:val="36DE12F2"/>
    <w:rsid w:val="45DD7FC6"/>
    <w:rsid w:val="4B420C77"/>
    <w:rsid w:val="4E2168F4"/>
    <w:rsid w:val="52374585"/>
    <w:rsid w:val="57366C49"/>
    <w:rsid w:val="5D5864E9"/>
    <w:rsid w:val="5FCA7E02"/>
    <w:rsid w:val="600D2C31"/>
    <w:rsid w:val="65594D61"/>
    <w:rsid w:val="6A570BC4"/>
    <w:rsid w:val="6AD064C5"/>
    <w:rsid w:val="6DB76B62"/>
    <w:rsid w:val="75CD2DB2"/>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2417</Words>
  <Characters>2527</Characters>
  <Lines>0</Lines>
  <Paragraphs>0</Paragraphs>
  <TotalTime>18</TotalTime>
  <ScaleCrop>false</ScaleCrop>
  <LinksUpToDate>false</LinksUpToDate>
  <CharactersWithSpaces>3419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2025-06-18T02:42:01Z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