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65B55">
      <w:pPr>
        <w:pStyle w:val="3"/>
        <w:numPr>
          <w:ilvl w:val="0"/>
          <w:numId w:val="0"/>
        </w:numPr>
        <w:rPr>
          <w:rStyle w:val="23"/>
          <w:rFonts w:hint="eastAsia"/>
          <w:b/>
          <w:bCs/>
        </w:rPr>
      </w:pPr>
      <w:bookmarkStart w:id="0" w:name="_Toc14124"/>
      <w:bookmarkStart w:id="1" w:name="_Toc30838"/>
      <w:bookmarkStart w:id="2" w:name="_Toc99614377"/>
      <w:bookmarkStart w:id="3" w:name="_Toc16657"/>
      <w:r>
        <w:rPr>
          <w:rStyle w:val="23"/>
          <w:rFonts w:hint="eastAsia"/>
          <w:b/>
          <w:bCs/>
        </w:rPr>
        <w:t>合同主要条款</w:t>
      </w:r>
      <w:bookmarkEnd w:id="0"/>
      <w:bookmarkEnd w:id="1"/>
      <w:bookmarkEnd w:id="2"/>
      <w:r>
        <w:rPr>
          <w:rStyle w:val="23"/>
          <w:rFonts w:hint="eastAsia"/>
          <w:b/>
          <w:bCs/>
        </w:rPr>
        <w:t>（仅供参考）</w:t>
      </w:r>
      <w:bookmarkEnd w:id="3"/>
    </w:p>
    <w:p w14:paraId="49F1F701">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sz w:val="24"/>
          <w:szCs w:val="24"/>
        </w:rPr>
      </w:pPr>
      <w:r>
        <w:rPr>
          <w:rFonts w:hint="eastAsia"/>
          <w:sz w:val="24"/>
          <w:szCs w:val="24"/>
        </w:rPr>
        <w:t xml:space="preserve">甲方（采购人）： </w:t>
      </w:r>
    </w:p>
    <w:p w14:paraId="07C47E91">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sz w:val="24"/>
          <w:szCs w:val="24"/>
        </w:rPr>
      </w:pPr>
      <w:r>
        <w:rPr>
          <w:rFonts w:hint="eastAsia"/>
          <w:sz w:val="24"/>
          <w:szCs w:val="24"/>
        </w:rPr>
        <w:t xml:space="preserve">乙方（成交供应商）： </w:t>
      </w:r>
    </w:p>
    <w:p w14:paraId="60C9B14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u w:val="single"/>
          <w:lang w:val="en-US" w:eastAsia="zh-CN"/>
        </w:rPr>
        <w:t xml:space="preserve">                        </w:t>
      </w:r>
      <w:r>
        <w:rPr>
          <w:rFonts w:hint="eastAsia"/>
          <w:sz w:val="24"/>
          <w:szCs w:val="24"/>
          <w:lang w:eastAsia="zh-CN"/>
        </w:rPr>
        <w:t>（</w:t>
      </w:r>
      <w:r>
        <w:rPr>
          <w:rFonts w:hint="eastAsia"/>
          <w:sz w:val="24"/>
          <w:szCs w:val="24"/>
        </w:rPr>
        <w:t>项目编号：</w:t>
      </w:r>
      <w:r>
        <w:rPr>
          <w:rFonts w:hint="eastAsia"/>
          <w:sz w:val="24"/>
          <w:szCs w:val="24"/>
          <w:u w:val="single"/>
          <w:lang w:val="en-US" w:eastAsia="zh-CN"/>
        </w:rPr>
        <w:t xml:space="preserve">       </w:t>
      </w:r>
      <w:r>
        <w:rPr>
          <w:rFonts w:hint="eastAsia"/>
          <w:sz w:val="24"/>
          <w:szCs w:val="24"/>
          <w:lang w:eastAsia="zh-CN"/>
        </w:rPr>
        <w:t>）</w:t>
      </w:r>
      <w:r>
        <w:rPr>
          <w:rFonts w:hint="eastAsia"/>
          <w:sz w:val="24"/>
          <w:szCs w:val="24"/>
        </w:rPr>
        <w:t>，由</w:t>
      </w:r>
      <w:r>
        <w:rPr>
          <w:rFonts w:hint="eastAsia"/>
          <w:sz w:val="24"/>
          <w:szCs w:val="24"/>
          <w:u w:val="single"/>
          <w:lang w:val="en-US" w:eastAsia="zh-CN"/>
        </w:rPr>
        <w:t xml:space="preserve">  </w:t>
      </w:r>
      <w:r>
        <w:rPr>
          <w:rFonts w:hint="eastAsia"/>
          <w:sz w:val="24"/>
          <w:szCs w:val="24"/>
          <w:u w:val="single"/>
          <w:lang w:eastAsia="zh-CN"/>
        </w:rPr>
        <w:t>中怡恒玖国际咨询有限公司</w:t>
      </w:r>
      <w:r>
        <w:rPr>
          <w:rFonts w:hint="eastAsia"/>
          <w:sz w:val="24"/>
          <w:szCs w:val="24"/>
          <w:u w:val="single"/>
          <w:lang w:val="en-US" w:eastAsia="zh-CN"/>
        </w:rPr>
        <w:t xml:space="preserve">  </w:t>
      </w:r>
      <w:r>
        <w:rPr>
          <w:rFonts w:hint="eastAsia"/>
          <w:sz w:val="24"/>
          <w:szCs w:val="24"/>
        </w:rPr>
        <w:t>组织</w:t>
      </w:r>
      <w:r>
        <w:rPr>
          <w:rFonts w:hint="eastAsia"/>
          <w:sz w:val="24"/>
          <w:szCs w:val="24"/>
          <w:lang w:eastAsia="zh-CN"/>
        </w:rPr>
        <w:t>招标</w:t>
      </w:r>
      <w:r>
        <w:rPr>
          <w:rFonts w:hint="eastAsia"/>
          <w:sz w:val="24"/>
          <w:szCs w:val="24"/>
        </w:rPr>
        <w:t>，</w:t>
      </w:r>
      <w:r>
        <w:rPr>
          <w:rFonts w:hint="eastAsia"/>
          <w:sz w:val="24"/>
          <w:szCs w:val="24"/>
          <w:u w:val="single"/>
        </w:rPr>
        <w:t xml:space="preserve">               </w:t>
      </w:r>
      <w:r>
        <w:rPr>
          <w:rFonts w:hint="eastAsia"/>
          <w:sz w:val="24"/>
          <w:szCs w:val="24"/>
        </w:rPr>
        <w:t>(以下简称“甲方”)确定</w:t>
      </w:r>
      <w:r>
        <w:rPr>
          <w:rFonts w:hint="eastAsia"/>
          <w:sz w:val="24"/>
          <w:szCs w:val="24"/>
          <w:u w:val="single"/>
        </w:rPr>
        <w:t xml:space="preserve">          </w:t>
      </w:r>
      <w:r>
        <w:rPr>
          <w:rFonts w:hint="eastAsia"/>
          <w:sz w:val="24"/>
          <w:szCs w:val="24"/>
        </w:rPr>
        <w:t>（以下简称“乙方”）为该项目的成交供应商。</w:t>
      </w:r>
    </w:p>
    <w:p w14:paraId="0991C54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依据《中华人民共和国</w:t>
      </w:r>
      <w:r>
        <w:rPr>
          <w:rFonts w:hint="eastAsia"/>
          <w:sz w:val="24"/>
          <w:szCs w:val="24"/>
          <w:lang w:val="en-US" w:eastAsia="zh-CN"/>
        </w:rPr>
        <w:t>民法典</w:t>
      </w:r>
      <w:r>
        <w:rPr>
          <w:rFonts w:hint="eastAsia"/>
          <w:sz w:val="24"/>
          <w:szCs w:val="24"/>
        </w:rPr>
        <w:t>》和《中华人民共和国政府采购法》之规定，经双方在平等、自愿、互利的基础上，签订本合同，共同信守。</w:t>
      </w:r>
    </w:p>
    <w:p w14:paraId="298163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一</w:t>
      </w:r>
      <w:r>
        <w:rPr>
          <w:rFonts w:hint="eastAsia"/>
          <w:sz w:val="24"/>
          <w:szCs w:val="24"/>
        </w:rPr>
        <w:t>、委托工作内容</w:t>
      </w:r>
    </w:p>
    <w:p w14:paraId="481E4A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u w:val="single"/>
          <w:lang w:val="en-US" w:eastAsia="zh-CN"/>
        </w:rPr>
      </w:pPr>
      <w:r>
        <w:rPr>
          <w:rFonts w:hint="eastAsia"/>
          <w:sz w:val="24"/>
          <w:szCs w:val="24"/>
          <w:u w:val="single"/>
          <w:lang w:val="en-US" w:eastAsia="zh-CN"/>
        </w:rPr>
        <w:t xml:space="preserve">                                                                        </w:t>
      </w:r>
    </w:p>
    <w:p w14:paraId="14FFDEE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u w:val="single"/>
        </w:rPr>
      </w:pPr>
      <w:r>
        <w:rPr>
          <w:rFonts w:hint="eastAsia"/>
          <w:sz w:val="24"/>
          <w:szCs w:val="24"/>
          <w:u w:val="single"/>
          <w:lang w:val="en-US" w:eastAsia="zh-CN"/>
        </w:rPr>
        <w:t xml:space="preserve">                                                                        </w:t>
      </w:r>
    </w:p>
    <w:p w14:paraId="458AB7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二</w:t>
      </w:r>
      <w:r>
        <w:rPr>
          <w:rFonts w:hint="eastAsia"/>
          <w:sz w:val="24"/>
          <w:szCs w:val="24"/>
        </w:rPr>
        <w:t>、合同价款</w:t>
      </w:r>
    </w:p>
    <w:p w14:paraId="6E27465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（一）合同总价款为人民币（大写）</w:t>
      </w:r>
      <w:r>
        <w:rPr>
          <w:rFonts w:hint="eastAsia"/>
          <w:sz w:val="24"/>
          <w:szCs w:val="24"/>
          <w:u w:val="single"/>
        </w:rPr>
        <w:t xml:space="preserve">        </w:t>
      </w:r>
      <w:r>
        <w:rPr>
          <w:rFonts w:hint="eastAsia"/>
          <w:sz w:val="24"/>
          <w:szCs w:val="24"/>
        </w:rPr>
        <w:t>（</w:t>
      </w:r>
      <w:r>
        <w:rPr>
          <w:rFonts w:hint="eastAsia"/>
          <w:sz w:val="24"/>
          <w:szCs w:val="24"/>
          <w:lang w:val="en-US" w:eastAsia="zh-CN"/>
        </w:rPr>
        <w:t>¥</w:t>
      </w:r>
      <w:r>
        <w:rPr>
          <w:rFonts w:hint="eastAsia"/>
          <w:sz w:val="24"/>
          <w:szCs w:val="24"/>
          <w:u w:val="single"/>
        </w:rPr>
        <w:t xml:space="preserve">      </w:t>
      </w:r>
      <w:r>
        <w:rPr>
          <w:rFonts w:hint="eastAsia"/>
          <w:sz w:val="24"/>
          <w:szCs w:val="24"/>
        </w:rPr>
        <w:t>）。</w:t>
      </w:r>
    </w:p>
    <w:p w14:paraId="113283A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rPr>
        <w:t>（二）合同总价</w:t>
      </w:r>
      <w:r>
        <w:rPr>
          <w:rFonts w:hint="eastAsia"/>
          <w:sz w:val="24"/>
          <w:szCs w:val="24"/>
          <w:lang w:val="en-US" w:eastAsia="zh-CN"/>
        </w:rPr>
        <w:t>包括</w:t>
      </w:r>
      <w:r>
        <w:rPr>
          <w:rFonts w:hint="eastAsia"/>
          <w:sz w:val="24"/>
          <w:szCs w:val="24"/>
        </w:rPr>
        <w:t>但不限于</w:t>
      </w:r>
      <w:r>
        <w:rPr>
          <w:rFonts w:hint="eastAsia"/>
          <w:sz w:val="24"/>
          <w:szCs w:val="24"/>
          <w:lang w:val="en-US" w:eastAsia="zh-CN"/>
        </w:rPr>
        <w:t>人工费</w:t>
      </w:r>
      <w:r>
        <w:rPr>
          <w:rFonts w:hint="eastAsia"/>
          <w:sz w:val="24"/>
          <w:szCs w:val="24"/>
        </w:rPr>
        <w:t>、</w:t>
      </w:r>
      <w:r>
        <w:rPr>
          <w:rFonts w:hint="eastAsia"/>
          <w:sz w:val="24"/>
          <w:szCs w:val="24"/>
          <w:lang w:val="en-US" w:eastAsia="zh-CN"/>
        </w:rPr>
        <w:t>设备费</w:t>
      </w:r>
      <w:r>
        <w:rPr>
          <w:rFonts w:hint="eastAsia"/>
          <w:sz w:val="24"/>
          <w:szCs w:val="24"/>
          <w:lang w:eastAsia="zh-CN"/>
        </w:rPr>
        <w:t>、</w:t>
      </w:r>
      <w:r>
        <w:rPr>
          <w:rFonts w:hint="eastAsia"/>
          <w:sz w:val="24"/>
          <w:szCs w:val="24"/>
          <w:lang w:val="en-US" w:eastAsia="zh-CN"/>
        </w:rPr>
        <w:t>交通</w:t>
      </w:r>
      <w:r>
        <w:rPr>
          <w:rFonts w:hint="eastAsia"/>
          <w:sz w:val="24"/>
          <w:szCs w:val="24"/>
          <w:lang w:eastAsia="zh-CN"/>
        </w:rPr>
        <w:t>费、</w:t>
      </w:r>
      <w:r>
        <w:rPr>
          <w:rFonts w:hint="eastAsia"/>
          <w:sz w:val="24"/>
          <w:szCs w:val="24"/>
          <w:lang w:val="en-US" w:eastAsia="zh-CN"/>
        </w:rPr>
        <w:t>住宿费</w:t>
      </w:r>
      <w:r>
        <w:rPr>
          <w:rFonts w:hint="eastAsia"/>
          <w:sz w:val="24"/>
          <w:szCs w:val="24"/>
        </w:rPr>
        <w:t>、税金等一切相关费用，服务期内甲方不再增加任何费用</w:t>
      </w:r>
      <w:r>
        <w:rPr>
          <w:rFonts w:hint="eastAsia"/>
          <w:sz w:val="24"/>
          <w:szCs w:val="24"/>
          <w:lang w:val="en-US" w:eastAsia="zh-CN"/>
        </w:rPr>
        <w:t>。</w:t>
      </w:r>
    </w:p>
    <w:p w14:paraId="1CB733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（三）合同总价一次性包死，不受市场价格变化因素的影响。</w:t>
      </w:r>
    </w:p>
    <w:p w14:paraId="434BC90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三</w:t>
      </w:r>
      <w:r>
        <w:rPr>
          <w:rFonts w:hint="eastAsia"/>
          <w:sz w:val="24"/>
          <w:szCs w:val="24"/>
        </w:rPr>
        <w:t>、款项结算</w:t>
      </w:r>
    </w:p>
    <w:p w14:paraId="567DEE3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（一）项款支付:</w:t>
      </w:r>
    </w:p>
    <w:p w14:paraId="70C8D2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5C774F5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lang w:val="en-US" w:eastAsia="zh-CN"/>
        </w:rPr>
        <w:t>（2）</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15BC92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eastAsia="宋体"/>
          <w:sz w:val="24"/>
          <w:szCs w:val="24"/>
          <w:lang w:eastAsia="zh-CN"/>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149802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eastAsia="宋体"/>
          <w:sz w:val="24"/>
          <w:szCs w:val="24"/>
          <w:lang w:eastAsia="zh-CN"/>
        </w:rPr>
      </w:pPr>
      <w:r>
        <w:rPr>
          <w:rFonts w:hint="eastAsia"/>
          <w:sz w:val="24"/>
          <w:szCs w:val="24"/>
          <w:lang w:eastAsia="zh-CN"/>
        </w:rPr>
        <w:t>（</w:t>
      </w:r>
      <w:r>
        <w:rPr>
          <w:rFonts w:hint="eastAsia"/>
          <w:sz w:val="24"/>
          <w:szCs w:val="24"/>
          <w:lang w:val="en-US" w:eastAsia="zh-CN"/>
        </w:rPr>
        <w:t>4</w:t>
      </w:r>
      <w:r>
        <w:rPr>
          <w:rFonts w:hint="eastAsia"/>
          <w:sz w:val="24"/>
          <w:szCs w:val="24"/>
          <w:lang w:eastAsia="zh-CN"/>
        </w:rPr>
        <w:t>）</w:t>
      </w:r>
      <w:r>
        <w:rPr>
          <w:rFonts w:hint="eastAsia"/>
          <w:sz w:val="24"/>
          <w:szCs w:val="24"/>
          <w:u w:val="single"/>
          <w:lang w:val="en-US" w:eastAsia="zh-CN"/>
        </w:rPr>
        <w:t xml:space="preserve">                </w:t>
      </w:r>
      <w:r>
        <w:rPr>
          <w:rFonts w:hint="eastAsia"/>
          <w:sz w:val="24"/>
          <w:szCs w:val="24"/>
          <w:lang w:val="en-US" w:eastAsia="zh-CN"/>
        </w:rPr>
        <w:t>，达到付款条件起</w:t>
      </w:r>
      <w:r>
        <w:rPr>
          <w:rFonts w:hint="eastAsia"/>
          <w:sz w:val="24"/>
          <w:szCs w:val="24"/>
          <w:u w:val="single"/>
          <w:lang w:val="en-US" w:eastAsia="zh-CN"/>
        </w:rPr>
        <w:t xml:space="preserve">   </w:t>
      </w:r>
      <w:r>
        <w:rPr>
          <w:rFonts w:hint="eastAsia"/>
          <w:sz w:val="24"/>
          <w:szCs w:val="24"/>
          <w:lang w:val="en-US" w:eastAsia="zh-CN"/>
        </w:rPr>
        <w:t>日内，支付合同总金额的</w:t>
      </w:r>
      <w:r>
        <w:rPr>
          <w:rFonts w:hint="eastAsia"/>
          <w:sz w:val="24"/>
          <w:szCs w:val="24"/>
          <w:u w:val="single"/>
          <w:lang w:val="en-US" w:eastAsia="zh-CN"/>
        </w:rPr>
        <w:t xml:space="preserve">   </w:t>
      </w:r>
      <w:r>
        <w:rPr>
          <w:rFonts w:hint="eastAsia"/>
          <w:sz w:val="24"/>
          <w:szCs w:val="24"/>
          <w:lang w:val="en-US" w:eastAsia="zh-CN"/>
        </w:rPr>
        <w:t>%，即¥</w:t>
      </w:r>
      <w:r>
        <w:rPr>
          <w:rFonts w:hint="eastAsia"/>
          <w:sz w:val="24"/>
          <w:szCs w:val="24"/>
          <w:u w:val="single"/>
          <w:lang w:val="en-US" w:eastAsia="zh-CN"/>
        </w:rPr>
        <w:t xml:space="preserve">   </w:t>
      </w:r>
      <w:r>
        <w:rPr>
          <w:rFonts w:hint="eastAsia"/>
          <w:sz w:val="24"/>
          <w:szCs w:val="24"/>
          <w:lang w:val="en-US" w:eastAsia="zh-CN"/>
        </w:rPr>
        <w:t>元,大写：人民币</w:t>
      </w:r>
      <w:r>
        <w:rPr>
          <w:rFonts w:hint="eastAsia"/>
          <w:sz w:val="24"/>
          <w:szCs w:val="24"/>
          <w:u w:val="single"/>
          <w:lang w:val="en-US" w:eastAsia="zh-CN"/>
        </w:rPr>
        <w:t xml:space="preserve">    </w:t>
      </w:r>
      <w:r>
        <w:rPr>
          <w:rFonts w:hint="eastAsia"/>
          <w:sz w:val="24"/>
          <w:szCs w:val="24"/>
          <w:lang w:val="en-US" w:eastAsia="zh-CN"/>
        </w:rPr>
        <w:t>元；</w:t>
      </w:r>
    </w:p>
    <w:p w14:paraId="2F9E0BD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（二）支付方式：银行转账。</w:t>
      </w:r>
    </w:p>
    <w:p w14:paraId="3AF627F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（三）结算方式：乙方在接受付款前，</w:t>
      </w:r>
      <w:r>
        <w:rPr>
          <w:rFonts w:hint="eastAsia"/>
          <w:sz w:val="24"/>
          <w:szCs w:val="24"/>
          <w:lang w:val="en-US" w:eastAsia="zh-CN"/>
        </w:rPr>
        <w:t>根据支付方式开具</w:t>
      </w:r>
      <w:r>
        <w:rPr>
          <w:rFonts w:hint="eastAsia"/>
          <w:sz w:val="24"/>
          <w:szCs w:val="24"/>
        </w:rPr>
        <w:t>发票给甲方。</w:t>
      </w:r>
    </w:p>
    <w:p w14:paraId="1A7B8B7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四</w:t>
      </w:r>
      <w:r>
        <w:rPr>
          <w:rFonts w:hint="eastAsia"/>
          <w:sz w:val="24"/>
          <w:szCs w:val="24"/>
        </w:rPr>
        <w:t>、服务要求</w:t>
      </w:r>
    </w:p>
    <w:p w14:paraId="1F6A03E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eastAsia="宋体"/>
          <w:sz w:val="24"/>
          <w:szCs w:val="24"/>
          <w:lang w:val="en-US" w:eastAsia="zh-CN"/>
        </w:rPr>
      </w:pPr>
      <w:r>
        <w:rPr>
          <w:rFonts w:hint="eastAsia"/>
          <w:sz w:val="24"/>
          <w:szCs w:val="24"/>
        </w:rPr>
        <w:t>（一）</w:t>
      </w:r>
      <w:r>
        <w:rPr>
          <w:rFonts w:hint="eastAsia"/>
          <w:sz w:val="24"/>
          <w:szCs w:val="24"/>
          <w:lang w:val="en-US" w:eastAsia="zh-CN"/>
        </w:rPr>
        <w:t>服务期限</w:t>
      </w:r>
      <w:r>
        <w:rPr>
          <w:rFonts w:hint="eastAsia"/>
          <w:sz w:val="24"/>
          <w:szCs w:val="24"/>
        </w:rPr>
        <w:t>：</w:t>
      </w:r>
      <w:r>
        <w:rPr>
          <w:rFonts w:hint="eastAsia"/>
          <w:sz w:val="24"/>
          <w:szCs w:val="24"/>
          <w:u w:val="single"/>
          <w:lang w:val="en-US" w:eastAsia="zh-CN"/>
        </w:rPr>
        <w:t xml:space="preserve">        </w:t>
      </w:r>
      <w:r>
        <w:rPr>
          <w:rFonts w:hint="eastAsia"/>
          <w:sz w:val="24"/>
          <w:szCs w:val="24"/>
          <w:lang w:val="en-US" w:eastAsia="zh-CN"/>
        </w:rPr>
        <w:t>。</w:t>
      </w:r>
    </w:p>
    <w:p w14:paraId="7CF0C65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（二）服务地点：</w:t>
      </w:r>
      <w:r>
        <w:rPr>
          <w:rFonts w:hint="eastAsia"/>
          <w:sz w:val="24"/>
          <w:szCs w:val="24"/>
          <w:u w:val="single"/>
          <w:lang w:val="en-US" w:eastAsia="zh-CN"/>
        </w:rPr>
        <w:t xml:space="preserve">         </w:t>
      </w:r>
      <w:r>
        <w:rPr>
          <w:rFonts w:hint="eastAsia"/>
          <w:sz w:val="24"/>
          <w:szCs w:val="24"/>
        </w:rPr>
        <w:t>。</w:t>
      </w:r>
    </w:p>
    <w:p w14:paraId="3CE5DD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五</w:t>
      </w:r>
      <w:r>
        <w:rPr>
          <w:rFonts w:hint="eastAsia"/>
          <w:sz w:val="24"/>
          <w:szCs w:val="24"/>
        </w:rPr>
        <w:t>、服务承诺：要求具有完善的管理及服务体系、高效的工作作风。</w:t>
      </w:r>
    </w:p>
    <w:p w14:paraId="312C73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六</w:t>
      </w:r>
      <w:r>
        <w:rPr>
          <w:rFonts w:hint="eastAsia"/>
          <w:sz w:val="24"/>
          <w:szCs w:val="24"/>
        </w:rPr>
        <w:t>、</w:t>
      </w:r>
      <w:r>
        <w:rPr>
          <w:rFonts w:hint="eastAsia"/>
          <w:sz w:val="24"/>
          <w:szCs w:val="24"/>
          <w:lang w:val="en-US" w:eastAsia="zh-CN"/>
        </w:rPr>
        <w:t xml:space="preserve">权利和义务 </w:t>
      </w:r>
    </w:p>
    <w:p w14:paraId="23BFFD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w:t>
      </w:r>
      <w:r>
        <w:rPr>
          <w:rFonts w:hint="eastAsia"/>
          <w:sz w:val="24"/>
          <w:szCs w:val="24"/>
          <w:lang w:val="en-US" w:eastAsia="zh-CN"/>
        </w:rPr>
        <w:t xml:space="preserve">甲方权利与义务 </w:t>
      </w:r>
    </w:p>
    <w:p w14:paraId="3197FC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1、甲方有权对乙方的项目实施情况进行检查和监督，对检查中发现的问题及时向乙方提出书面或口头改进意见，并要求乙方限期予以整改。对乙方不符合本项目要求规定，造成严重影响的行为进行处罚。 </w:t>
      </w:r>
    </w:p>
    <w:p w14:paraId="62B7985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2、甲方可要求乙方调整不合格的服务人员，并于5日内调整到位。 </w:t>
      </w:r>
    </w:p>
    <w:p w14:paraId="4C41BD5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3、双方可根据政策的变动并结合实际情况对合同项目内容进行修改和补充，对项目内容的修改和补充双方以书面补充协议形式做出。 </w:t>
      </w:r>
    </w:p>
    <w:p w14:paraId="499BE2A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4、甲方有权调阅乙方关于该项目的全部工作资料，并对本项目的检查和研究成果拥有所有权。 </w:t>
      </w:r>
    </w:p>
    <w:p w14:paraId="182DBCA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（二）乙方权利和义务 </w:t>
      </w:r>
    </w:p>
    <w:p w14:paraId="1318A21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1、乙方应按照国家服务规范、标准、规程和甲方的采购需求和服务要求进行工作，根据甲方要求按时提交质量合格的服务成果，满足甲方需求。 </w:t>
      </w:r>
    </w:p>
    <w:p w14:paraId="0CFEE02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2、乙方有权对业务工作提出建议。 </w:t>
      </w:r>
    </w:p>
    <w:p w14:paraId="1EA39D6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3、乙方应接受甲方的检查监督及指导，完成甲方依合同约定交办的各项工作任务。 </w:t>
      </w:r>
    </w:p>
    <w:p w14:paraId="7F99D8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4、按合同约定要求开展工作，如有改变，乙方应提出书面申请，并征得甲方的书面同意。 </w:t>
      </w:r>
    </w:p>
    <w:p w14:paraId="1B998F7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5、乙方负责检查人员的管理，确保人员足额到位、并且具备足够的能力以满足岗位需要。乙方应在签订合同后5日内，按照响应文件的承诺，完成组建足额服务人员上岗。乙方对所有人员负责，对人员进行安全教育，人员管理中出现的一切问题与甲方无关。 </w:t>
      </w:r>
    </w:p>
    <w:p w14:paraId="3DEC5C9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 xml:space="preserve">6、乙方应向甲方提供工作人员名单，并保证人员的相对稳定。同时乙方应为本项目设置固定项目管理团队，并保证团队骨干的稳定性。 </w:t>
      </w:r>
    </w:p>
    <w:p w14:paraId="210933E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lang w:val="en-US" w:eastAsia="zh-CN"/>
        </w:rPr>
      </w:pPr>
      <w:r>
        <w:rPr>
          <w:rFonts w:hint="eastAsia"/>
          <w:sz w:val="24"/>
          <w:szCs w:val="24"/>
          <w:lang w:val="en-US" w:eastAsia="zh-CN"/>
        </w:rPr>
        <w:t>七</w:t>
      </w:r>
      <w:r>
        <w:rPr>
          <w:rFonts w:hint="eastAsia"/>
          <w:sz w:val="24"/>
          <w:szCs w:val="24"/>
        </w:rPr>
        <w:t>、</w:t>
      </w:r>
      <w:r>
        <w:rPr>
          <w:rFonts w:hint="eastAsia"/>
          <w:sz w:val="24"/>
          <w:szCs w:val="24"/>
          <w:lang w:val="en-US" w:eastAsia="zh-CN"/>
        </w:rPr>
        <w:t>验收</w:t>
      </w:r>
    </w:p>
    <w:p w14:paraId="0166EFB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（一）本项目验收费用，由乙方自行承担。</w:t>
      </w:r>
    </w:p>
    <w:p w14:paraId="6A3BEB3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（二）服务期满后，由乙方向甲方递交验收通知书，经甲方确认后，组织乙方进行系统验收。验收合格后，填写项目验收单作为对本次服务的最终认可。</w:t>
      </w:r>
    </w:p>
    <w:p w14:paraId="5EE8A03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（三）验收依据：</w:t>
      </w:r>
    </w:p>
    <w:p w14:paraId="0E645C8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（1）合同文本； （2）国内相应的标准、规范；（3）招标文件、投标文件、承诺等。</w:t>
      </w:r>
    </w:p>
    <w:p w14:paraId="1085DD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八、</w:t>
      </w:r>
      <w:r>
        <w:rPr>
          <w:rFonts w:hint="eastAsia"/>
          <w:sz w:val="24"/>
          <w:szCs w:val="24"/>
        </w:rPr>
        <w:t>其它事项</w:t>
      </w:r>
    </w:p>
    <w:p w14:paraId="77313B1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（一）乙方不得将项目转让、分包给其它单位或个人。</w:t>
      </w:r>
    </w:p>
    <w:p w14:paraId="0C21A86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（二）乙方的磋商响应文件和承诺等内容将列入合同。</w:t>
      </w:r>
    </w:p>
    <w:p w14:paraId="2451201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九</w:t>
      </w:r>
      <w:r>
        <w:rPr>
          <w:rFonts w:hint="eastAsia"/>
          <w:sz w:val="24"/>
          <w:szCs w:val="24"/>
        </w:rPr>
        <w:t>、违约责任</w:t>
      </w:r>
    </w:p>
    <w:p w14:paraId="6365F8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（一）按《中华人民共和国民法典》中的相关条款执行。</w:t>
      </w:r>
    </w:p>
    <w:p w14:paraId="5EC832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按合同要求提供服务或服务质量不能满足不能满足本次磋商要求，乙方必须无条件提高技术，完善服务质量，否则，甲方会同监督机构、采购代理机构有权终止合同并对乙方违约行为进行追究，同时按政府采购供应商管理办法进行相应的处罚。</w:t>
      </w:r>
    </w:p>
    <w:p w14:paraId="5F46D08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（三）任何一方因不可抗力原因不能履行协议时，应尽快通知对方，双方均设法补偿。如仍无法履约协议，可协商延缓或撤销协议，双方责任免除。</w:t>
      </w:r>
    </w:p>
    <w:p w14:paraId="1501053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十</w:t>
      </w:r>
      <w:r>
        <w:rPr>
          <w:rFonts w:hint="eastAsia"/>
          <w:sz w:val="24"/>
          <w:szCs w:val="24"/>
        </w:rPr>
        <w:t>、合同争议解决的方式</w:t>
      </w:r>
    </w:p>
    <w:p w14:paraId="59DDD2F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本合同在履行过程中发生的争议，由甲、乙双方当事人协商解决，协商不成的按下列第（二）种方式解决：</w:t>
      </w:r>
    </w:p>
    <w:p w14:paraId="5B3500A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（一）提交西安仲裁委员会仲裁；</w:t>
      </w:r>
      <w:bookmarkStart w:id="4" w:name="_GoBack"/>
      <w:bookmarkEnd w:id="4"/>
    </w:p>
    <w:p w14:paraId="43C6D0D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（二）依法向甲方所在地人民法院起诉。</w:t>
      </w:r>
    </w:p>
    <w:p w14:paraId="0CA9FD1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lang w:val="en-US" w:eastAsia="zh-CN"/>
        </w:rPr>
        <w:t>十一</w:t>
      </w:r>
      <w:r>
        <w:rPr>
          <w:rFonts w:hint="eastAsia"/>
          <w:sz w:val="24"/>
          <w:szCs w:val="24"/>
        </w:rPr>
        <w:t>、合同生效</w:t>
      </w:r>
    </w:p>
    <w:p w14:paraId="2458B9C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（一）本合同经双方签字盖章后生效。</w:t>
      </w:r>
    </w:p>
    <w:p w14:paraId="2BBDD0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（二）本合同须经甲、乙双方的法定代表人（授权代理人）在合同书上签字并加盖本单位公章后正式生效。</w:t>
      </w:r>
    </w:p>
    <w:p w14:paraId="1E69E3D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（三）合同生效后，甲、乙双方须严格执行本合同条款的规定，全面履行合同，违者按《</w:t>
      </w:r>
      <w:r>
        <w:rPr>
          <w:rFonts w:hint="eastAsia"/>
          <w:sz w:val="24"/>
          <w:szCs w:val="24"/>
          <w:lang w:eastAsia="zh-CN"/>
        </w:rPr>
        <w:t>中华人民共和国民法典</w:t>
      </w:r>
      <w:r>
        <w:rPr>
          <w:rFonts w:hint="eastAsia"/>
          <w:sz w:val="24"/>
          <w:szCs w:val="24"/>
        </w:rPr>
        <w:t>》的有关规定承担相应责任。</w:t>
      </w:r>
    </w:p>
    <w:p w14:paraId="5398F5A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rFonts w:hint="eastAsia"/>
          <w:sz w:val="24"/>
          <w:szCs w:val="24"/>
        </w:rPr>
      </w:pPr>
      <w:r>
        <w:rPr>
          <w:rFonts w:hint="eastAsia"/>
          <w:sz w:val="24"/>
          <w:szCs w:val="24"/>
        </w:rPr>
        <w:t>（四）本合同一式</w:t>
      </w:r>
      <w:r>
        <w:rPr>
          <w:rFonts w:hint="eastAsia"/>
          <w:sz w:val="24"/>
          <w:szCs w:val="24"/>
          <w:u w:val="single"/>
        </w:rPr>
        <w:t xml:space="preserve">   </w:t>
      </w:r>
      <w:r>
        <w:rPr>
          <w:rFonts w:hint="eastAsia"/>
          <w:sz w:val="24"/>
          <w:szCs w:val="24"/>
        </w:rPr>
        <w:t>份，甲乙双方各执</w:t>
      </w:r>
      <w:r>
        <w:rPr>
          <w:rFonts w:hint="eastAsia"/>
          <w:sz w:val="24"/>
          <w:szCs w:val="24"/>
          <w:u w:val="single"/>
        </w:rPr>
        <w:t xml:space="preserve">    </w:t>
      </w:r>
      <w:r>
        <w:rPr>
          <w:rFonts w:hint="eastAsia"/>
          <w:sz w:val="24"/>
          <w:szCs w:val="24"/>
        </w:rPr>
        <w:t>份。</w:t>
      </w:r>
    </w:p>
    <w:p w14:paraId="2EC943B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80" w:firstLineChars="200"/>
        <w:jc w:val="both"/>
        <w:textAlignment w:val="auto"/>
        <w:rPr>
          <w:sz w:val="24"/>
          <w:szCs w:val="24"/>
        </w:rPr>
      </w:pPr>
      <w:r>
        <w:rPr>
          <w:rFonts w:hint="eastAsia"/>
          <w:sz w:val="24"/>
          <w:szCs w:val="24"/>
        </w:rPr>
        <w:t>（五）本合同如有未尽事宜，甲、乙双方协商解决。</w:t>
      </w:r>
    </w:p>
    <w:p w14:paraId="294FE8A7">
      <w:pPr>
        <w:pStyle w:val="2"/>
        <w:keepNext w:val="0"/>
        <w:keepLines w:val="0"/>
        <w:pageBreakBefore w:val="0"/>
        <w:widowControl w:val="0"/>
        <w:kinsoku/>
        <w:wordWrap/>
        <w:overflowPunct/>
        <w:topLinePunct w:val="0"/>
        <w:autoSpaceDE/>
        <w:autoSpaceDN/>
        <w:bidi w:val="0"/>
        <w:adjustRightInd/>
        <w:snapToGrid/>
        <w:ind w:firstLine="420" w:firstLineChars="200"/>
        <w:textAlignment w:val="auto"/>
      </w:pPr>
    </w:p>
    <w:p w14:paraId="0C570A08"/>
    <w:p w14:paraId="1C941663">
      <w:pPr>
        <w:pStyle w:val="2"/>
      </w:pPr>
    </w:p>
    <w:p w14:paraId="722B833C"/>
    <w:p w14:paraId="10007C00">
      <w:pPr>
        <w:pStyle w:val="2"/>
      </w:pPr>
    </w:p>
    <w:p w14:paraId="139CB341"/>
    <w:p w14:paraId="089218D5">
      <w:pPr>
        <w:pStyle w:val="2"/>
      </w:pPr>
    </w:p>
    <w:p w14:paraId="644FE303"/>
    <w:p w14:paraId="151D6B9D">
      <w:pPr>
        <w:pStyle w:val="2"/>
      </w:pPr>
    </w:p>
    <w:p w14:paraId="1CBD6FCF"/>
    <w:p w14:paraId="0D6BACB0">
      <w:pPr>
        <w:pStyle w:val="2"/>
      </w:pPr>
    </w:p>
    <w:p w14:paraId="7A60104F"/>
    <w:p w14:paraId="2F0DF9B6">
      <w:pPr>
        <w:pStyle w:val="2"/>
      </w:pPr>
    </w:p>
    <w:p w14:paraId="4D4F3E07"/>
    <w:p w14:paraId="7758DD14">
      <w:pPr>
        <w:pStyle w:val="2"/>
      </w:pPr>
    </w:p>
    <w:p w14:paraId="59F4DCED">
      <w:pPr>
        <w:pStyle w:val="2"/>
        <w:ind w:firstLine="480" w:firstLineChars="200"/>
        <w:rPr>
          <w:rFonts w:hint="eastAsia" w:ascii="Times New Roman" w:hAnsi="Times New Roman" w:eastAsia="宋体" w:cs="Times New Roman"/>
          <w:kern w:val="2"/>
          <w:sz w:val="24"/>
          <w:szCs w:val="24"/>
          <w:lang w:val="en-US" w:eastAsia="zh-CN" w:bidi="ar-SA"/>
        </w:rPr>
      </w:pPr>
      <w:r>
        <w:rPr>
          <w:rFonts w:hint="eastAsia" w:ascii="Times New Roman" w:hAnsi="Times New Roman" w:eastAsia="宋体" w:cs="Times New Roman"/>
          <w:kern w:val="2"/>
          <w:sz w:val="24"/>
          <w:szCs w:val="24"/>
          <w:lang w:val="en-US" w:eastAsia="zh-CN" w:bidi="ar-SA"/>
        </w:rPr>
        <w:t>本页无正文。</w:t>
      </w:r>
    </w:p>
    <w:p w14:paraId="6635D277">
      <w:pPr>
        <w:rPr>
          <w:rFonts w:hint="default"/>
          <w:lang w:val="en-US" w:eastAsia="zh-CN"/>
        </w:rPr>
      </w:pPr>
    </w:p>
    <w:p w14:paraId="7EC5F6E8">
      <w:pPr>
        <w:pStyle w:val="2"/>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6BC75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nil"/>
              <w:left w:val="nil"/>
              <w:bottom w:val="nil"/>
              <w:right w:val="nil"/>
            </w:tcBorders>
            <w:vAlign w:val="center"/>
          </w:tcPr>
          <w:p w14:paraId="2195649B">
            <w:pPr>
              <w:spacing w:line="360" w:lineRule="auto"/>
              <w:rPr>
                <w:rFonts w:hAnsi="宋体" w:cs="宋体"/>
                <w:sz w:val="24"/>
              </w:rPr>
            </w:pPr>
            <w:r>
              <w:rPr>
                <w:rFonts w:hint="eastAsia" w:hAnsi="宋体"/>
                <w:sz w:val="24"/>
              </w:rPr>
              <w:t>甲方：</w:t>
            </w:r>
            <w:r>
              <w:rPr>
                <w:rFonts w:hint="eastAsia" w:hAnsi="宋体"/>
                <w:sz w:val="24"/>
                <w:lang w:eastAsia="zh-CN"/>
              </w:rPr>
              <w:t>陕西牛背梁国家级自然保护区</w:t>
            </w:r>
            <w:r>
              <w:rPr>
                <w:rFonts w:hint="eastAsia" w:hAnsi="宋体"/>
                <w:sz w:val="24"/>
              </w:rPr>
              <w:t xml:space="preserve">  </w:t>
            </w:r>
          </w:p>
        </w:tc>
        <w:tc>
          <w:tcPr>
            <w:tcW w:w="4857" w:type="dxa"/>
            <w:tcBorders>
              <w:top w:val="nil"/>
              <w:left w:val="nil"/>
              <w:bottom w:val="nil"/>
              <w:right w:val="nil"/>
            </w:tcBorders>
            <w:vAlign w:val="center"/>
          </w:tcPr>
          <w:p w14:paraId="784E68D2">
            <w:pPr>
              <w:spacing w:line="360" w:lineRule="auto"/>
              <w:rPr>
                <w:rFonts w:hAnsi="宋体" w:cs="宋体"/>
                <w:sz w:val="24"/>
              </w:rPr>
            </w:pPr>
            <w:r>
              <w:rPr>
                <w:rFonts w:hint="eastAsia" w:hAnsi="宋体"/>
                <w:sz w:val="24"/>
              </w:rPr>
              <w:t xml:space="preserve">乙方： </w:t>
            </w:r>
          </w:p>
        </w:tc>
      </w:tr>
      <w:tr w14:paraId="705F8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nil"/>
              <w:left w:val="nil"/>
              <w:bottom w:val="nil"/>
              <w:right w:val="nil"/>
            </w:tcBorders>
            <w:vAlign w:val="center"/>
          </w:tcPr>
          <w:p w14:paraId="589FF8CC">
            <w:pPr>
              <w:spacing w:line="360" w:lineRule="auto"/>
              <w:rPr>
                <w:rFonts w:hAnsi="宋体"/>
                <w:sz w:val="24"/>
              </w:rPr>
            </w:pPr>
            <w:r>
              <w:rPr>
                <w:rFonts w:hint="eastAsia" w:hAnsi="宋体"/>
                <w:sz w:val="24"/>
              </w:rPr>
              <w:t>地址：</w:t>
            </w:r>
          </w:p>
        </w:tc>
        <w:tc>
          <w:tcPr>
            <w:tcW w:w="4857" w:type="dxa"/>
            <w:tcBorders>
              <w:top w:val="nil"/>
              <w:left w:val="nil"/>
              <w:bottom w:val="nil"/>
              <w:right w:val="nil"/>
            </w:tcBorders>
            <w:vAlign w:val="center"/>
          </w:tcPr>
          <w:p w14:paraId="2B49B8DE">
            <w:pPr>
              <w:spacing w:line="360" w:lineRule="auto"/>
              <w:rPr>
                <w:rFonts w:hAnsi="宋体" w:cs="宋体"/>
                <w:sz w:val="24"/>
              </w:rPr>
            </w:pPr>
            <w:r>
              <w:rPr>
                <w:rFonts w:hint="eastAsia" w:hAnsi="宋体"/>
                <w:sz w:val="24"/>
              </w:rPr>
              <w:t>地址：</w:t>
            </w:r>
          </w:p>
        </w:tc>
      </w:tr>
      <w:tr w14:paraId="11784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4323" w:type="dxa"/>
            <w:tcBorders>
              <w:top w:val="nil"/>
              <w:left w:val="nil"/>
              <w:bottom w:val="nil"/>
              <w:right w:val="nil"/>
            </w:tcBorders>
            <w:vAlign w:val="center"/>
          </w:tcPr>
          <w:p w14:paraId="1DDC11A5">
            <w:pPr>
              <w:spacing w:line="360" w:lineRule="auto"/>
              <w:rPr>
                <w:rFonts w:hAnsi="宋体"/>
                <w:sz w:val="24"/>
              </w:rPr>
            </w:pPr>
            <w:r>
              <w:rPr>
                <w:rFonts w:hint="eastAsia" w:hAnsi="宋体"/>
                <w:sz w:val="24"/>
              </w:rPr>
              <w:t>代理人（签字或盖章）：</w:t>
            </w:r>
          </w:p>
        </w:tc>
        <w:tc>
          <w:tcPr>
            <w:tcW w:w="4857" w:type="dxa"/>
            <w:tcBorders>
              <w:top w:val="nil"/>
              <w:left w:val="nil"/>
              <w:bottom w:val="nil"/>
              <w:right w:val="nil"/>
            </w:tcBorders>
            <w:vAlign w:val="center"/>
          </w:tcPr>
          <w:p w14:paraId="2B4675D2">
            <w:pPr>
              <w:spacing w:line="360" w:lineRule="auto"/>
              <w:rPr>
                <w:rFonts w:hAnsi="宋体"/>
                <w:sz w:val="24"/>
              </w:rPr>
            </w:pPr>
            <w:r>
              <w:rPr>
                <w:rFonts w:hint="eastAsia" w:ascii="Times New Roman"/>
                <w:sz w:val="24"/>
              </w:rPr>
              <w:t>代理人</w:t>
            </w:r>
            <w:r>
              <w:rPr>
                <w:rFonts w:hint="eastAsia" w:hAnsi="宋体"/>
                <w:sz w:val="24"/>
              </w:rPr>
              <w:t>（签字或盖章）：</w:t>
            </w:r>
          </w:p>
        </w:tc>
      </w:tr>
      <w:tr w14:paraId="09563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nil"/>
              <w:left w:val="nil"/>
              <w:bottom w:val="nil"/>
              <w:right w:val="nil"/>
            </w:tcBorders>
            <w:vAlign w:val="center"/>
          </w:tcPr>
          <w:p w14:paraId="68F30B2F">
            <w:pPr>
              <w:spacing w:line="360" w:lineRule="auto"/>
              <w:rPr>
                <w:rFonts w:hAnsi="宋体"/>
                <w:sz w:val="24"/>
              </w:rPr>
            </w:pPr>
            <w:r>
              <w:rPr>
                <w:rFonts w:hint="eastAsia" w:hAnsi="宋体"/>
                <w:sz w:val="24"/>
              </w:rPr>
              <w:t xml:space="preserve">联系电话： </w:t>
            </w:r>
          </w:p>
        </w:tc>
        <w:tc>
          <w:tcPr>
            <w:tcW w:w="4857" w:type="dxa"/>
            <w:tcBorders>
              <w:top w:val="nil"/>
              <w:left w:val="nil"/>
              <w:bottom w:val="nil"/>
              <w:right w:val="nil"/>
            </w:tcBorders>
            <w:vAlign w:val="center"/>
          </w:tcPr>
          <w:p w14:paraId="7807E3A5">
            <w:pPr>
              <w:spacing w:line="360" w:lineRule="auto"/>
              <w:rPr>
                <w:rFonts w:hAnsi="宋体"/>
                <w:sz w:val="24"/>
              </w:rPr>
            </w:pPr>
            <w:r>
              <w:rPr>
                <w:rFonts w:hint="eastAsia" w:hAnsi="宋体"/>
                <w:sz w:val="24"/>
              </w:rPr>
              <w:t>联系电话：</w:t>
            </w:r>
          </w:p>
        </w:tc>
      </w:tr>
      <w:tr w14:paraId="396C4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nil"/>
              <w:left w:val="nil"/>
              <w:bottom w:val="nil"/>
              <w:right w:val="nil"/>
            </w:tcBorders>
            <w:vAlign w:val="center"/>
          </w:tcPr>
          <w:p w14:paraId="0728EA07">
            <w:pPr>
              <w:spacing w:line="360" w:lineRule="auto"/>
              <w:rPr>
                <w:rFonts w:hAnsi="宋体"/>
                <w:sz w:val="24"/>
              </w:rPr>
            </w:pPr>
            <w:r>
              <w:rPr>
                <w:rFonts w:hint="eastAsia" w:hAnsi="宋体"/>
                <w:sz w:val="24"/>
              </w:rPr>
              <w:t xml:space="preserve">开户行： </w:t>
            </w:r>
          </w:p>
        </w:tc>
        <w:tc>
          <w:tcPr>
            <w:tcW w:w="4857" w:type="dxa"/>
            <w:tcBorders>
              <w:top w:val="nil"/>
              <w:left w:val="nil"/>
              <w:bottom w:val="nil"/>
              <w:right w:val="nil"/>
            </w:tcBorders>
            <w:vAlign w:val="center"/>
          </w:tcPr>
          <w:p w14:paraId="100594FD">
            <w:pPr>
              <w:spacing w:line="360" w:lineRule="auto"/>
              <w:rPr>
                <w:rFonts w:hAnsi="宋体"/>
                <w:sz w:val="24"/>
              </w:rPr>
            </w:pPr>
            <w:r>
              <w:rPr>
                <w:rFonts w:hint="eastAsia" w:hAnsi="宋体"/>
                <w:sz w:val="24"/>
              </w:rPr>
              <w:t xml:space="preserve">开户行： </w:t>
            </w:r>
          </w:p>
        </w:tc>
      </w:tr>
      <w:tr w14:paraId="02BCE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nil"/>
              <w:left w:val="nil"/>
              <w:bottom w:val="nil"/>
              <w:right w:val="nil"/>
            </w:tcBorders>
            <w:vAlign w:val="center"/>
          </w:tcPr>
          <w:p w14:paraId="47601781">
            <w:pPr>
              <w:spacing w:line="360" w:lineRule="auto"/>
              <w:rPr>
                <w:rFonts w:hAnsi="宋体"/>
                <w:sz w:val="24"/>
              </w:rPr>
            </w:pPr>
            <w:r>
              <w:rPr>
                <w:rFonts w:hint="eastAsia" w:hAnsi="宋体"/>
                <w:sz w:val="24"/>
              </w:rPr>
              <w:t xml:space="preserve">账号：    </w:t>
            </w:r>
          </w:p>
        </w:tc>
        <w:tc>
          <w:tcPr>
            <w:tcW w:w="4857" w:type="dxa"/>
            <w:tcBorders>
              <w:top w:val="nil"/>
              <w:left w:val="nil"/>
              <w:bottom w:val="nil"/>
              <w:right w:val="nil"/>
            </w:tcBorders>
            <w:vAlign w:val="center"/>
          </w:tcPr>
          <w:p w14:paraId="2546C1D7">
            <w:pPr>
              <w:spacing w:line="360" w:lineRule="auto"/>
              <w:rPr>
                <w:rFonts w:hAnsi="宋体"/>
                <w:sz w:val="24"/>
              </w:rPr>
            </w:pPr>
            <w:r>
              <w:rPr>
                <w:rFonts w:hint="eastAsia" w:hAnsi="宋体"/>
                <w:sz w:val="24"/>
              </w:rPr>
              <w:t>账号：</w:t>
            </w:r>
          </w:p>
        </w:tc>
      </w:tr>
      <w:tr w14:paraId="1E055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4323" w:type="dxa"/>
            <w:tcBorders>
              <w:top w:val="nil"/>
              <w:left w:val="nil"/>
              <w:bottom w:val="nil"/>
              <w:right w:val="nil"/>
            </w:tcBorders>
            <w:vAlign w:val="center"/>
          </w:tcPr>
          <w:p w14:paraId="61D4513F">
            <w:pPr>
              <w:spacing w:line="360" w:lineRule="auto"/>
              <w:rPr>
                <w:rFonts w:hAnsi="宋体"/>
                <w:sz w:val="24"/>
              </w:rPr>
            </w:pPr>
            <w:r>
              <w:rPr>
                <w:rFonts w:hint="eastAsia" w:hAnsi="宋体"/>
                <w:sz w:val="24"/>
              </w:rPr>
              <w:t xml:space="preserve">税号： </w:t>
            </w:r>
          </w:p>
        </w:tc>
        <w:tc>
          <w:tcPr>
            <w:tcW w:w="4857" w:type="dxa"/>
            <w:tcBorders>
              <w:top w:val="nil"/>
              <w:left w:val="nil"/>
              <w:bottom w:val="nil"/>
              <w:right w:val="nil"/>
            </w:tcBorders>
            <w:vAlign w:val="center"/>
          </w:tcPr>
          <w:p w14:paraId="4FE39F87">
            <w:pPr>
              <w:spacing w:line="360" w:lineRule="auto"/>
              <w:rPr>
                <w:rFonts w:hAnsi="宋体"/>
                <w:sz w:val="24"/>
              </w:rPr>
            </w:pPr>
            <w:r>
              <w:rPr>
                <w:rFonts w:hint="eastAsia" w:hAnsi="宋体" w:cs="宋体"/>
                <w:sz w:val="24"/>
              </w:rPr>
              <w:t>税号：</w:t>
            </w:r>
          </w:p>
        </w:tc>
      </w:tr>
      <w:tr w14:paraId="597FD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4323" w:type="dxa"/>
            <w:tcBorders>
              <w:top w:val="nil"/>
              <w:left w:val="nil"/>
              <w:bottom w:val="nil"/>
              <w:right w:val="nil"/>
            </w:tcBorders>
            <w:vAlign w:val="center"/>
          </w:tcPr>
          <w:p w14:paraId="2404F751">
            <w:pPr>
              <w:spacing w:line="360" w:lineRule="auto"/>
              <w:rPr>
                <w:rFonts w:hAnsi="宋体"/>
                <w:sz w:val="24"/>
              </w:rPr>
            </w:pPr>
            <w:r>
              <w:rPr>
                <w:rFonts w:hint="eastAsia" w:hAnsi="宋体"/>
                <w:sz w:val="24"/>
              </w:rPr>
              <w:t>日期：     年    月    日</w:t>
            </w:r>
          </w:p>
        </w:tc>
        <w:tc>
          <w:tcPr>
            <w:tcW w:w="4857" w:type="dxa"/>
            <w:tcBorders>
              <w:top w:val="nil"/>
              <w:left w:val="nil"/>
              <w:bottom w:val="nil"/>
              <w:right w:val="nil"/>
            </w:tcBorders>
            <w:vAlign w:val="center"/>
          </w:tcPr>
          <w:p w14:paraId="33D1EAD3">
            <w:pPr>
              <w:spacing w:line="360" w:lineRule="auto"/>
              <w:rPr>
                <w:rFonts w:hAnsi="宋体" w:cs="宋体"/>
                <w:sz w:val="24"/>
              </w:rPr>
            </w:pPr>
            <w:r>
              <w:rPr>
                <w:rFonts w:hint="eastAsia" w:hAnsi="宋体" w:cs="宋体"/>
                <w:sz w:val="24"/>
              </w:rPr>
              <w:t>日期：    年    月    日</w:t>
            </w:r>
          </w:p>
        </w:tc>
      </w:tr>
    </w:tbl>
    <w:p w14:paraId="55E7D817">
      <w:pPr>
        <w:widowControl/>
        <w:spacing w:line="360" w:lineRule="auto"/>
        <w:jc w:val="left"/>
        <w:rPr>
          <w:rFonts w:ascii="宋体" w:hAnsi="宋体" w:cs="宋体"/>
          <w:color w:val="000000"/>
        </w:rPr>
      </w:pPr>
    </w:p>
    <w:p w14:paraId="14E40460">
      <w:pPr>
        <w:pStyle w:val="5"/>
      </w:pPr>
    </w:p>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3F7204E-BB67-4774-B737-07E67D0EC52C}"/>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176F0">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posOffset>2623820</wp:posOffset>
              </wp:positionH>
              <wp:positionV relativeFrom="paragraph">
                <wp:posOffset>-174625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2533AB">
                          <w:pPr>
                            <w:pStyle w:val="9"/>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e6kzJTgCAABvBAAADgAAAGRycy9lMm9Eb2MueG1srVTN&#10;jtMwEL4j8Q6W7zRpEbtV1XRVtipCqtiVFsTZdZwmkv9ku03KA8AbcOLCnefqc/DZabpo4bAHLunY&#10;M/5mvm9mOr/plCQH4XxjdEHHo5wSobkpG70r6KeP61dTSnxgumTSaFHQo/D0ZvHyxby1MzExtZGl&#10;cAQg2s9aW9A6BDvLMs9roZgfGSs0nJVxigUc3S4rHWuBrmQ2yfOrrDWutM5w4T1uV72TnhHdcwBN&#10;VTVcrAzfK6FDj+qEZAGUfN1YTxep2qoSPNxVlReByIKCaUhfJIG9jd9sMWeznWO2bvi5BPacEp5w&#10;UqzRSHqBWrHAyN41f0GphjvjTRVG3KisJ5IUAYtx/kSbh5pZkbhAam8vovv/B8s/HO4dacqCXlOi&#10;mULDT9+/nX78Ov38Sq6jPK31M0Q9WMSF7q3pMDTDvcdlZN1VTsVf8CHwQ9zjRVzRBcLjo+lkOs3h&#10;4vANB+Bnj8+t8+GdMIpEo6AO3UuissPGhz50CInZtFk3UqYOSk3agl69fpOnBxcPwKWOsSLNwhkm&#10;UupLj1bott2Z59aUR9B0pp8Tb/m6QSkb5sM9cxgMlI/VCXf4VNIgpTlblNTGffnXfYxHv+ClpMWg&#10;FVRjryiR7zX6CMAwGG4wtoOh9+rWYHLHWEnLk4kHLsjBrJxRn7FPy5gDLqY5MhU0DOZt6Icd+8jF&#10;cpmC9tY1u7p/gCm0LGz0g+UxTZTK2+U+QNqkeBSoVwWdigfMYerZeWfioP95TlGP/xO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ZmIR/YAAAACwEAAA8AAAAAAAAAAQAgAAAAIgAAAGRycy9kb3du&#10;cmV2LnhtbFBLAQIUABQAAAAIAIdO4kB7qTMlOAIAAG8EAAAOAAAAAAAAAAEAIAAAACcBAABkcnMv&#10;ZTJvRG9jLnhtbFBLBQYAAAAABgAGAFkBAADRBQAAAAA=&#10;">
              <v:fill on="f" focussize="0,0"/>
              <v:stroke on="f" weight="0.5pt"/>
              <v:imagedata o:title=""/>
              <o:lock v:ext="edit" aspectratio="f"/>
              <v:textbox inset="0mm,0mm,0mm,0mm" style="mso-fit-shape-to-text:t;">
                <w:txbxContent>
                  <w:p w14:paraId="142533AB">
                    <w:pPr>
                      <w:pStyle w:val="9"/>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510F29">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2MmU3NmQ1YjU4OTk5MjQ4MTE0NjJjMTAwYzA3ZTU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28750FB"/>
    <w:rsid w:val="071938B9"/>
    <w:rsid w:val="0CF24C32"/>
    <w:rsid w:val="0EBB3568"/>
    <w:rsid w:val="0EC60B07"/>
    <w:rsid w:val="10332904"/>
    <w:rsid w:val="10CF4970"/>
    <w:rsid w:val="10F63A27"/>
    <w:rsid w:val="15ED32D1"/>
    <w:rsid w:val="172B4FA4"/>
    <w:rsid w:val="192A37C4"/>
    <w:rsid w:val="198577DD"/>
    <w:rsid w:val="19966094"/>
    <w:rsid w:val="1AF112C0"/>
    <w:rsid w:val="1CA80820"/>
    <w:rsid w:val="1D6E70FD"/>
    <w:rsid w:val="21665943"/>
    <w:rsid w:val="244871F4"/>
    <w:rsid w:val="25295AB7"/>
    <w:rsid w:val="274E2D73"/>
    <w:rsid w:val="277E1692"/>
    <w:rsid w:val="27EF733B"/>
    <w:rsid w:val="292902AA"/>
    <w:rsid w:val="29BB6BC2"/>
    <w:rsid w:val="2CF77560"/>
    <w:rsid w:val="2F1025C8"/>
    <w:rsid w:val="30104537"/>
    <w:rsid w:val="313868D1"/>
    <w:rsid w:val="319161B8"/>
    <w:rsid w:val="325B49C3"/>
    <w:rsid w:val="326A7D77"/>
    <w:rsid w:val="33EF3E56"/>
    <w:rsid w:val="39094D4C"/>
    <w:rsid w:val="3CCE5611"/>
    <w:rsid w:val="3CE71A85"/>
    <w:rsid w:val="412A6A1E"/>
    <w:rsid w:val="414032D5"/>
    <w:rsid w:val="41614FF9"/>
    <w:rsid w:val="462C5BD6"/>
    <w:rsid w:val="4EC118A7"/>
    <w:rsid w:val="4FDA2485"/>
    <w:rsid w:val="510F332E"/>
    <w:rsid w:val="54F63A8A"/>
    <w:rsid w:val="5C7E1FD1"/>
    <w:rsid w:val="5D3B49BA"/>
    <w:rsid w:val="60E414E6"/>
    <w:rsid w:val="60F8708E"/>
    <w:rsid w:val="61DE6FB3"/>
    <w:rsid w:val="61E5759F"/>
    <w:rsid w:val="67FE06B5"/>
    <w:rsid w:val="696F3399"/>
    <w:rsid w:val="734E36BE"/>
    <w:rsid w:val="741C09D0"/>
    <w:rsid w:val="74343D24"/>
    <w:rsid w:val="764F97C9"/>
    <w:rsid w:val="780E58FD"/>
    <w:rsid w:val="78C53AE4"/>
    <w:rsid w:val="7B9D6653"/>
    <w:rsid w:val="7EB216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3"/>
    <w:qFormat/>
    <w:uiPriority w:val="0"/>
    <w:pPr>
      <w:keepNext/>
      <w:keepLines/>
      <w:spacing w:line="360" w:lineRule="auto"/>
      <w:jc w:val="center"/>
      <w:outlineLvl w:val="0"/>
    </w:pPr>
    <w:rPr>
      <w:b/>
      <w:bCs/>
      <w:kern w:val="44"/>
      <w:sz w:val="32"/>
      <w:szCs w:val="44"/>
      <w:lang w:val="zh-CN"/>
    </w:rPr>
  </w:style>
  <w:style w:type="paragraph" w:styleId="4">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5">
    <w:name w:val="Normal Indent"/>
    <w:basedOn w:val="1"/>
    <w:autoRedefine/>
    <w:qFormat/>
    <w:uiPriority w:val="0"/>
    <w:pPr>
      <w:ind w:firstLine="420"/>
    </w:pPr>
    <w:rPr>
      <w:szCs w:val="21"/>
    </w:rPr>
  </w:style>
  <w:style w:type="paragraph" w:styleId="6">
    <w:name w:val="annotation text"/>
    <w:basedOn w:val="1"/>
    <w:autoRedefine/>
    <w:qFormat/>
    <w:uiPriority w:val="0"/>
    <w:pPr>
      <w:jc w:val="left"/>
    </w:pPr>
  </w:style>
  <w:style w:type="paragraph" w:styleId="7">
    <w:name w:val="Plain Text"/>
    <w:basedOn w:val="1"/>
    <w:autoRedefine/>
    <w:qFormat/>
    <w:uiPriority w:val="0"/>
    <w:rPr>
      <w:rFonts w:ascii="宋体" w:hAnsi="Courier New"/>
      <w:kern w:val="0"/>
      <w:sz w:val="20"/>
    </w:rPr>
  </w:style>
  <w:style w:type="paragraph" w:styleId="8">
    <w:name w:val="Balloon Text"/>
    <w:basedOn w:val="1"/>
    <w:link w:val="19"/>
    <w:autoRedefine/>
    <w:qFormat/>
    <w:uiPriority w:val="0"/>
    <w:rPr>
      <w:sz w:val="18"/>
      <w:szCs w:val="18"/>
    </w:rPr>
  </w:style>
  <w:style w:type="paragraph" w:styleId="9">
    <w:name w:val="footer"/>
    <w:basedOn w:val="1"/>
    <w:next w:val="2"/>
    <w:autoRedefine/>
    <w:qFormat/>
    <w:uiPriority w:val="0"/>
    <w:pPr>
      <w:tabs>
        <w:tab w:val="center" w:pos="4140"/>
        <w:tab w:val="right" w:pos="8300"/>
      </w:tabs>
      <w:snapToGrid w:val="0"/>
      <w:jc w:val="left"/>
    </w:pPr>
    <w:rPr>
      <w:sz w:val="18"/>
      <w:szCs w:val="18"/>
    </w:rPr>
  </w:style>
  <w:style w:type="paragraph" w:styleId="10">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2">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3">
    <w:name w:val="Body Text First Indent"/>
    <w:basedOn w:val="2"/>
    <w:autoRedefine/>
    <w:qFormat/>
    <w:uiPriority w:val="0"/>
    <w:pPr>
      <w:spacing w:line="360" w:lineRule="auto"/>
      <w:ind w:firstLine="420"/>
    </w:pPr>
    <w:rPr>
      <w:rFonts w:ascii="宋体" w:hAnsi="宋体"/>
      <w:sz w:val="24"/>
    </w:r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autoRedefine/>
    <w:qFormat/>
    <w:uiPriority w:val="0"/>
    <w:rPr>
      <w:sz w:val="21"/>
      <w:szCs w:val="21"/>
    </w:rPr>
  </w:style>
  <w:style w:type="character" w:customStyle="1" w:styleId="18">
    <w:name w:val="页眉 Char"/>
    <w:basedOn w:val="16"/>
    <w:link w:val="10"/>
    <w:autoRedefine/>
    <w:qFormat/>
    <w:uiPriority w:val="0"/>
    <w:rPr>
      <w:kern w:val="2"/>
      <w:sz w:val="18"/>
      <w:szCs w:val="18"/>
    </w:rPr>
  </w:style>
  <w:style w:type="character" w:customStyle="1" w:styleId="19">
    <w:name w:val="批注框文本 Char"/>
    <w:basedOn w:val="16"/>
    <w:link w:val="8"/>
    <w:autoRedefine/>
    <w:qFormat/>
    <w:uiPriority w:val="0"/>
    <w:rPr>
      <w:kern w:val="2"/>
      <w:sz w:val="18"/>
      <w:szCs w:val="18"/>
    </w:rPr>
  </w:style>
  <w:style w:type="paragraph" w:customStyle="1" w:styleId="20">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2">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3">
    <w:name w:val="标题 1 Char"/>
    <w:link w:val="3"/>
    <w:qFormat/>
    <w:uiPriority w:val="0"/>
    <w:rPr>
      <w:b/>
      <w:bCs/>
      <w:kern w:val="44"/>
      <w:sz w:val="32"/>
      <w:szCs w:val="44"/>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1941</Words>
  <Characters>1941</Characters>
  <Lines>23</Lines>
  <Paragraphs>6</Paragraphs>
  <TotalTime>143</TotalTime>
  <ScaleCrop>false</ScaleCrop>
  <LinksUpToDate>false</LinksUpToDate>
  <CharactersWithSpaces>2135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艳儿</cp:lastModifiedBy>
  <cp:lastPrinted>2022-09-28T14:56:00Z</cp:lastPrinted>
  <dcterms:modified xsi:type="dcterms:W3CDTF">2025-05-28T05:55:33Z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E33C718E6936418DBA3D46B3D371834A_13</vt:lpwstr>
  </property>
  <property fmtid="{D5CDD505-2E9C-101B-9397-08002B2CF9AE}" pid="4" name="KSOTemplateDocerSaveRecord">
    <vt:lpwstr>eyJoZGlkIjoiMWIxNWRlZDdhODc4YWFhNTI4NzZhNTY3YTRkN2EwNDkiLCJ1c2VySWQiOiI3Mjg2ODcwMDQifQ==</vt:lpwstr>
  </property>
</Properties>
</file>