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版本号：2025-ZZD-ZZ-001（2）20250616001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陕西黑河珍稀水生野生动物国家级自然保护区2025年中央财政林业草原生态保护恢复资金项目(二次)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2025-ZZD-ZZ-001（2）</w:t>
      </w:r>
      <w:r>
        <w:br/>
      </w:r>
      <w:r>
        <w:br/>
      </w:r>
      <w:r>
        <w:br/>
      </w:r>
    </w:p>
    <w:p>
      <w:pPr>
        <w:pStyle w:val="null3"/>
        <w:jc w:val="center"/>
        <w:outlineLvl w:val="2"/>
      </w:pPr>
      <w:r>
        <w:rPr>
          <w:rFonts w:ascii="仿宋_GB2312" w:hAnsi="仿宋_GB2312" w:cs="仿宋_GB2312" w:eastAsia="仿宋_GB2312"/>
          <w:sz w:val="28"/>
          <w:b/>
        </w:rPr>
        <w:t>周至黑河湿地省级自然保护区管理中心</w:t>
      </w:r>
    </w:p>
    <w:p>
      <w:pPr>
        <w:pStyle w:val="null3"/>
        <w:jc w:val="center"/>
        <w:outlineLvl w:val="2"/>
      </w:pPr>
      <w:r>
        <w:rPr>
          <w:rFonts w:ascii="仿宋_GB2312" w:hAnsi="仿宋_GB2312" w:cs="仿宋_GB2312" w:eastAsia="仿宋_GB2312"/>
          <w:sz w:val="28"/>
          <w:b/>
        </w:rPr>
        <w:t>中智达项目管理有限公司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中智达项目管理有限公司</w:t>
      </w:r>
      <w:r>
        <w:rPr>
          <w:rFonts w:ascii="仿宋_GB2312" w:hAnsi="仿宋_GB2312" w:cs="仿宋_GB2312" w:eastAsia="仿宋_GB2312"/>
        </w:rPr>
        <w:t>（以下简称“代理机构”）受</w:t>
      </w:r>
      <w:r>
        <w:rPr>
          <w:rFonts w:ascii="仿宋_GB2312" w:hAnsi="仿宋_GB2312" w:cs="仿宋_GB2312" w:eastAsia="仿宋_GB2312"/>
        </w:rPr>
        <w:t>周至黑河湿地省级自然保护区管理中心</w:t>
      </w:r>
      <w:r>
        <w:rPr>
          <w:rFonts w:ascii="仿宋_GB2312" w:hAnsi="仿宋_GB2312" w:cs="仿宋_GB2312" w:eastAsia="仿宋_GB2312"/>
        </w:rPr>
        <w:t>委托，拟对</w:t>
      </w:r>
      <w:r>
        <w:rPr>
          <w:rFonts w:ascii="仿宋_GB2312" w:hAnsi="仿宋_GB2312" w:cs="仿宋_GB2312" w:eastAsia="仿宋_GB2312"/>
        </w:rPr>
        <w:t>陕西黑河珍稀水生野生动物国家级自然保护区2025年中央财政林业草原生态保护恢复资金项目(二次)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2025-ZZD-ZZ-001（2）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陕西黑河珍稀水生野生动物国家级自然保护区2025年中央财政林业草原生态保护恢复资金项目(二次)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项目地点位于周至县，主要内容为公共教育系统建设，包含宣传活动、宣传品(手提袋、钥匙扣、雨伞)的定制，管(巡)护人员技能培训。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采购包1（公共教育系统建设）：属于专门面向中小企业采购。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2、供应商授权：法定代表人授权书（附法定代表人、被授权人身份证复印件）；法定代表人直接参加投标，须提供法定代表人身份证明及身份证复印件）。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周至黑河湿地省级自然保护区管理中心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周至县工业路西上林东苑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17795727239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中智达项目管理有限公司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陕西省西安市经济技术开发区凤城四路世融国际中心22层2205室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18629282262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代理服务费收费标准：成交供应商在领取《成交通知书》之前，向采购代理机构一次付清代理服务费。 采购代理服务费的金额依据《招标代理服务收费管理暂行办法》 计价格[2002]1980号文、《国家发展改革委关于降低部分建设项目收费标准规范收费行为等有关问题的通知》 发改价格[2011]534 号文，以中标价为基数,按标准计取代理服务费。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周至黑河湿地省级自然保护区管理中心</w:t>
      </w:r>
      <w:r>
        <w:rPr>
          <w:rFonts w:ascii="仿宋_GB2312" w:hAnsi="仿宋_GB2312" w:cs="仿宋_GB2312" w:eastAsia="仿宋_GB2312"/>
        </w:rPr>
        <w:t>和</w:t>
      </w:r>
      <w:r>
        <w:rPr>
          <w:rFonts w:ascii="仿宋_GB2312" w:hAnsi="仿宋_GB2312" w:cs="仿宋_GB2312" w:eastAsia="仿宋_GB2312"/>
        </w:rPr>
        <w:t>中智达项目管理有限公司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周至黑河湿地省级自然保护区管理中心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中智达项目管理有限公司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周至黑河湿地省级自然保护区管理中心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1、质量标准：满足国家及行业规定的合格标准。 2、验收依据：（1）合同文本； （2）国内相应的标准、规范；（3）招标文件、投标文件、承诺等。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联系电话：18629282262</w:t>
      </w:r>
    </w:p>
    <w:p>
      <w:pPr>
        <w:pStyle w:val="null3"/>
      </w:pPr>
      <w:r>
        <w:rPr>
          <w:rFonts w:ascii="仿宋_GB2312" w:hAnsi="仿宋_GB2312" w:cs="仿宋_GB2312" w:eastAsia="仿宋_GB2312"/>
        </w:rPr>
        <w:t>地址：陕西省西安市经济技术开发区凤城四路世融国际中心22层2205室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项目地点位于周至县，主要内容为:公共教育系统建设，包含宣传活动、宣传品(手提袋、钥匙扣、雨伞)的定制，管(巡)护人员技能培训。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423,000.00</w:t>
      </w:r>
    </w:p>
    <w:p>
      <w:pPr>
        <w:pStyle w:val="null3"/>
      </w:pPr>
      <w:r>
        <w:rPr>
          <w:rFonts w:ascii="仿宋_GB2312" w:hAnsi="仿宋_GB2312" w:cs="仿宋_GB2312" w:eastAsia="仿宋_GB2312"/>
        </w:rPr>
        <w:t>采购包最高限价（元）: 423,000.00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公共教育系统建设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标的名称：公共教育系统建设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09"/>
              <w:gridCol w:w="288"/>
              <w:gridCol w:w="1613"/>
              <w:gridCol w:w="156"/>
              <w:gridCol w:w="232"/>
              <w:gridCol w:w="152"/>
            </w:tblGrid>
            <w:tr>
              <w:tc>
                <w:tcPr>
                  <w:tcW w:type="dxa" w:w="109"/>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序 号</w:t>
                  </w:r>
                </w:p>
              </w:tc>
              <w:tc>
                <w:tcPr>
                  <w:tcW w:type="dxa" w:w="288"/>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建设内容</w:t>
                  </w:r>
                </w:p>
              </w:tc>
              <w:tc>
                <w:tcPr>
                  <w:tcW w:type="dxa" w:w="1613"/>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主要参数</w:t>
                  </w:r>
                </w:p>
              </w:tc>
              <w:tc>
                <w:tcPr>
                  <w:tcW w:type="dxa" w:w="15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数 量</w:t>
                  </w:r>
                </w:p>
              </w:tc>
              <w:tc>
                <w:tcPr>
                  <w:tcW w:type="dxa" w:w="15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备 注</w:t>
                  </w:r>
                </w:p>
              </w:tc>
            </w:tr>
            <w:tr>
              <w:tc>
                <w:tcPr>
                  <w:tcW w:type="dxa" w:w="109"/>
                  <w:vMerge/>
                  <w:tcBorders>
                    <w:top w:val="single" w:color="000000" w:sz="4"/>
                    <w:left w:val="single" w:color="000000" w:sz="4"/>
                    <w:bottom w:val="single" w:color="000000" w:sz="4"/>
                    <w:right w:val="single" w:color="000000" w:sz="4"/>
                  </w:tcBorders>
                </w:tcPr>
                <w:p/>
              </w:tc>
              <w:tc>
                <w:tcPr>
                  <w:tcW w:type="dxa" w:w="288"/>
                  <w:vMerge/>
                  <w:tcBorders>
                    <w:top w:val="single" w:color="000000" w:sz="4"/>
                    <w:left w:val="single" w:color="000000" w:sz="4"/>
                    <w:bottom w:val="single" w:color="000000" w:sz="4"/>
                    <w:right w:val="single" w:color="000000" w:sz="4"/>
                  </w:tcBorders>
                </w:tcPr>
                <w:p/>
              </w:tc>
              <w:tc>
                <w:tcPr>
                  <w:tcW w:type="dxa" w:w="1613"/>
                  <w:vMerge/>
                  <w:tcBorders>
                    <w:top w:val="single" w:color="000000" w:sz="4"/>
                    <w:left w:val="single" w:color="000000" w:sz="4"/>
                    <w:bottom w:val="single" w:color="000000" w:sz="4"/>
                    <w:right w:val="single" w:color="000000" w:sz="4"/>
                  </w:tcBorders>
                </w:tcPr>
                <w:p/>
              </w:tc>
              <w:tc>
                <w:tcPr>
                  <w:tcW w:type="dxa" w:w="15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152"/>
                  <w:vMerge/>
                  <w:tcBorders>
                    <w:top w:val="single" w:color="000000" w:sz="4"/>
                    <w:left w:val="single" w:color="000000" w:sz="4"/>
                    <w:bottom w:val="single" w:color="000000" w:sz="4"/>
                    <w:right w:val="single" w:color="000000" w:sz="4"/>
                  </w:tcBorders>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1</w:t>
                  </w:r>
                </w:p>
              </w:tc>
              <w:tc>
                <w:tcPr>
                  <w:tcW w:type="dxa" w:w="28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宣传活动</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切实做好生态保护工作，进一步提高群众保护意识、扩大宣传范围，计划2025年6-10月开展进校园宣传活动2场次，进广场宣传活动1场次，合计3次。宣传活动规模：500-1000人/次。进校园宣传活动主题：守护陕西黑河珍稀水生野生动物国家级自然保护区，共建生态家园；主办单位：周至县秦岭生态环境保护和综合执法局、陕西黑河珍稀水生野生动物自然保护区管理中心、地方教育局、学校；协办单位：科研机构、公益基金会、媒体等；进广场宣传活动主题：加大物种保护投入力度，共建水域生命共同体；主办单位：周至县秦岭生态环境保护和综合执法局、陕西黑河珍稀水生野生动物自然保护区管理中心。包含开幕仪式彩排，活动会场舞台搭建，音响，展架，展板，海报，LED屏，等物料布置共计3次。</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次</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w:t>
                  </w:r>
                </w:p>
              </w:tc>
              <w:tc>
                <w:tcPr>
                  <w:tcW w:type="dxa" w:w="288"/>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宣传品</w:t>
                  </w:r>
                </w:p>
              </w:tc>
              <w:tc>
                <w:tcPr>
                  <w:tcW w:type="dxa" w:w="2001"/>
                  <w:gridSpan w:val="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为丰富保护秦岭水生野生动物、维护生物多样性工作的宣传载体，加强对各类科普知识、法律知识的宣传，提高水生生物保护知识宣传覆盖率，广泛发放形式多样、门类丰富的宣传品，持续增加宣传力度。需定制“关爱水生动物·共建和谐家园”主题制作宣传手提袋2900个、定制宣传钥匙扣2000个、定制宣传雨伞2000个。</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制作宣传手提袋</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关爱水生动物·共建和谐家园”主题宣传手提袋，更好的开展宣传活动。尺寸48×35×10材质棉麻布14A添加内衬和内兜制作工艺采用UV数码技术宣传LOGO打印，正片与侧片拼接，采用高密度缝线0.1mm以上。手提带需折边缝合并加固，包袋边缘车线细密工整等工艺制作。</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2900.00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2.2</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定制宣传钥匙扣</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定制“关爱水生动物·共建和谐家园”主题宣传钥匙扣，更好的开展宣传活动。尺寸12厘米材质毛绒，钥匙扣材质304不锈钢、硅胶挂件采用烫金技术印制LOGO最后将毛绒玩具、钥匙扣、硅胶挂件统一组装。</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2000.00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2.3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定制宣传雨伞</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关爱水生动物·共建和谐家园”主题宣传雨伞，更好的开展宣传活动。采用尺寸直径1米伞面材质碰击布并在正面印制宣传LOGO，中捧材质，钢，伞骨8骨,制作工艺采用添加手柄防滑套、伞柄加固件等配件。腐蚀性材料表面镀锌或喷漆防锈。</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2000.00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管（巡）护人员技能培训</w:t>
                  </w:r>
                </w:p>
              </w:tc>
              <w:tc>
                <w:tcPr>
                  <w:tcW w:type="dxa" w:w="2001"/>
                  <w:gridSpan w:val="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开展有针对性的业务技能培训2期，每期次4天、受训人员为40人。培训内容主要包括：一是政策法规、理论知识及林业综合执法培训，包括生态文明思想与国家政策、保护区法律法规等，确保工作人员依法依规开展工作，促进保护管理成效提升；二是开展专业技能培训，包括野生动植物保护知识、巡护监测技能、地理信息系统应用及科研与监测技术，提升工作人员的保护、监测及信息化管理水平；三是开展应急管理与安全培训，包括应急响应与处理、安全教育与防护，提升保护区应急响应和处理能力。</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0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8"/>
                      <w:color w:val="000000"/>
                    </w:rPr>
                    <w:t>3.1</w:t>
                  </w:r>
                </w:p>
              </w:tc>
              <w:tc>
                <w:tcPr>
                  <w:tcW w:type="dxa" w:w="2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培训人员（2期，每期40人4天）</w:t>
                  </w:r>
                </w:p>
              </w:tc>
              <w:tc>
                <w:tcPr>
                  <w:tcW w:type="dxa" w:w="16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培训对象包括保护区管理人员、专业技术人员及周边社区参与管护人员等，培训2期，每期次4天、受训人员为40人，按照西安市培训费管理办法。</w:t>
                  </w:r>
                </w:p>
              </w:tc>
              <w:tc>
                <w:tcPr>
                  <w:tcW w:type="dxa" w:w="15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人/次</w:t>
                  </w:r>
                </w:p>
              </w:tc>
              <w:tc>
                <w:tcPr>
                  <w:tcW w:type="dxa" w:w="23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 xml:space="preserve">320.00 </w:t>
                  </w:r>
                </w:p>
              </w:tc>
              <w:tc>
                <w:tcPr>
                  <w:tcW w:type="dxa" w:w="15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提供符合要求的服务，并负责服务中出现的任何问题；（2）本采购文件提出的服务内容及要求是最低限度的要求，供应商的服务方案应达到或优于本采购文件要求，且符合国家有关标准和规范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1、质量标准：满足国家及行业规定的合格标准。 2、验收依据：（1）合同文本； （2）国内相应的标准、规范；（3）招标文件、投标文件、承诺等。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服务内容全部完成后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通过省市验收合格后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（2）税收缴纳证明：提供开标截止日期前六个月内任意一个月的纳税证明或完税证明，依法免税的单位应提供相关证明材料； （3）社会保障资金缴纳证明：提供开标截止日期前六个月内任意一个月的社会保障资金缴存单据或社保机构开具的社会保险参保缴费情况证明，依法不需要缴纳社会保障资金的单位应提供相关证明材料； （4）提供参加政府采购活动前三年内在经营活动中没有重大违法记录的书面声明； （5）提供具有履行本合同所必需的设备和专业技术能力的说明及承诺书。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 2024 年度完整的财务审计报告或开标前六个月内其基本账户银行出具的资信证明（附开户许可证或基本账户证明）；供应商需在项目电子化交易系统中按要求上传相应证明文件并进行电子签章。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 ；</w:t>
            </w:r>
          </w:p>
        </w:tc>
        <w:tc>
          <w:tcPr>
            <w:tcW w:type="dxa" w:w="1661"/>
          </w:tcPr>
          <w:p>
            <w:pPr>
              <w:pStyle w:val="null3"/>
            </w:pPr>
            <w:r>
              <w:rPr>
                <w:rFonts w:ascii="仿宋_GB2312" w:hAnsi="仿宋_GB2312" w:cs="仿宋_GB2312" w:eastAsia="仿宋_GB2312"/>
              </w:rPr>
              <w:t>服务内容及服务邀请应答表 业绩相关证明材料 中小企业声明函 商务应答表 报价表 响应文件封面 资格证明文件 残疾人福利性单位声明函 服务方案 标的清单 供应商承诺书 响应函 监狱企业的证明文件 其他相关资料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服务内容及服务邀请应答表 业绩相关证明材料 中小企业声明函 商务应答表 报价表 响应文件封面 资格证明文件 残疾人福利性单位声明函 服务方案 标的清单 供应商承诺书 响应函 监狱企业的证明文件 其他相关资料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业绩相关证明材料 中小企业声明函 商务应答表 报价表 响应文件封面 资格证明文件 残疾人福利性单位声明函 服务方案 标的清单 供应商承诺书 响应函 监狱企业的证明文件 其他相关资料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要求商务条款全部响应，不能有采购人不能接受的附加条件；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业绩相关证明材料 中小企业声明函 商务应答表 报价表 响应文件封面 资格证明文件 残疾人福利性单位声明函 服务方案 标的清单 供应商承诺书 响应函 监狱企业的证明文件 其他相关资料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 ；</w:t>
            </w:r>
          </w:p>
        </w:tc>
        <w:tc>
          <w:tcPr>
            <w:tcW w:type="dxa" w:w="1661"/>
          </w:tcPr>
          <w:p>
            <w:pPr>
              <w:pStyle w:val="null3"/>
            </w:pPr>
            <w:r>
              <w:rPr>
                <w:rFonts w:ascii="仿宋_GB2312" w:hAnsi="仿宋_GB2312" w:cs="仿宋_GB2312" w:eastAsia="仿宋_GB2312"/>
              </w:rPr>
              <w:t>服务内容及服务邀请应答表 业绩相关证明材料 中小企业声明函 商务应答表 报价表 响应文件封面 资格证明文件 残疾人福利性单位声明函 服务方案 标的清单 供应商承诺书 响应函 监狱企业的证明文件 其他相关资料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业绩相关证明材料 中小企业声明函 商务应答表 报价表 响应文件封面 资格证明文件 残疾人福利性单位声明函 服务方案 标的清单 供应商承诺书 响应函 监狱企业的证明文件 其他相关资料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一、评审内容：供应商针对本项目提供的项目背景及需求分析，包括但不限于：1、项目需求分析；2、项目背景分析等；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一、评审内容：供应商针对本项目提供的服务方案，包括但不限于：1、服务计划；2、具体可行的实施方案；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进度保障</w:t>
            </w:r>
          </w:p>
        </w:tc>
        <w:tc>
          <w:tcPr>
            <w:tcW w:type="dxa" w:w="2492"/>
          </w:tcPr>
          <w:p>
            <w:pPr>
              <w:pStyle w:val="null3"/>
            </w:pPr>
            <w:r>
              <w:rPr>
                <w:rFonts w:ascii="仿宋_GB2312" w:hAnsi="仿宋_GB2312" w:cs="仿宋_GB2312" w:eastAsia="仿宋_GB2312"/>
              </w:rPr>
              <w:t>一、评审内容：供应商针对本项目提供的进度保障，包括但不限于：1、项目的总体计划安排；2、保证工作进度计划措施等。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一、评审内容：供应商针对本项目提供质量保障方案，包括但不限于：1、质量目标；2、质量保证措施等。 二、赋分标准：各部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安全管理方案及防护措施</w:t>
            </w:r>
          </w:p>
        </w:tc>
        <w:tc>
          <w:tcPr>
            <w:tcW w:type="dxa" w:w="2492"/>
          </w:tcPr>
          <w:p>
            <w:pPr>
              <w:pStyle w:val="null3"/>
            </w:pPr>
            <w:r>
              <w:rPr>
                <w:rFonts w:ascii="仿宋_GB2312" w:hAnsi="仿宋_GB2312" w:cs="仿宋_GB2312" w:eastAsia="仿宋_GB2312"/>
              </w:rPr>
              <w:t>一、评审内容：供应商针对本项目提供安全管理方案及防护措施。 二、赋分标准：内容全面详细、阐述条理清晰详尽符合本项需求得4分；以上评审内容每缺一项扣4分；评审内容有缺陷（缺陷是指：内容粗略、逻辑混乱、描述过于简单、与项目特点不匹配、凭空编造、逻辑漏洞、出现常识性错误、存在不适用项目实际情况的情形或只有标题没有实质性内容等）的扣 0-3分。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项目重难点</w:t>
            </w:r>
          </w:p>
        </w:tc>
        <w:tc>
          <w:tcPr>
            <w:tcW w:type="dxa" w:w="2492"/>
          </w:tcPr>
          <w:p>
            <w:pPr>
              <w:pStyle w:val="null3"/>
            </w:pPr>
            <w:r>
              <w:rPr>
                <w:rFonts w:ascii="仿宋_GB2312" w:hAnsi="仿宋_GB2312" w:cs="仿宋_GB2312" w:eastAsia="仿宋_GB2312"/>
              </w:rPr>
              <w:t>一、评审内容：供应商根据本项目服务内容的重难点提供包括但不限于：1、重难点分析；2、重难点解决措施等。 二、赋分标准：内容全面详细、阐述条理清晰详尽符合本项需求得10分；以上评审内容每缺一项扣5分；评审内容有缺陷（缺陷是指：内容粗略、逻辑混乱、描述过于简单、与项目特点不匹配、凭空编造、逻辑漏洞、出现常识性错误、存在不适用项目实际情况的情形或只有标题没有实质性内容等）的扣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一、评审内容：供应商针对本项目提供应急预案，包括但不限于：1、应急响应时限；2.应急处理措施等。 二、赋分标准：各部分内容全面详细、阐述条理清晰详尽符合本项需求得8分；以上评审内容每缺一项扣4分；评审内容有缺陷（缺陷是指：内容粗略、逻辑混乱、描述过于简单、与项目特点不匹配、凭空编造、逻辑漏洞、出现常识性错误、存在不适用项目实际情况的情形或只有标题没有实质性内容等）的扣 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一、评审内容：供应商针对本项目提供培训方案，包括但不限于：1、培训目标：2、培训计划；3、培训方案等。 二、赋分标准：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 0-1.5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一、评审内容：供应商针对本项目提供售后服务方案，包括但不限于：1、售后服务承诺；2、售后服务响应时限；3、售后服务保障措施等。 二、赋分标准：各部分内容全面详细、阐述条理清晰详尽符合本项需求得6分；以上评审内容每缺一项扣2分；评审内容有缺陷（缺陷是指：内容粗略、逻辑混乱、描述过于简单、与项目特点不匹配、凭空编造、逻辑漏洞、出现常识性错误、存在不适用项目实际情况的情形或只有标题没有实质性内容等）的扣 0-1.5分。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一、评审内容：供应商针对本项目提供的项目团队，包括但不限于：1、团队组织人员配置明细；2、团队人员管理制度等。（注：须提供人员身份证、学历证、资格/职称证书等相关证明材料） 二、赋分标准 各部分内容全面详细、阐述条理清晰详尽符合本项需求得6分；以上评审内容每缺一项扣3分；评审内容有缺陷（缺陷是指：内容粗略、逻辑混乱、描述过于简单、与项目特点不匹配、凭空编造、逻辑漏洞、出现常识性错误、存在不适用项目实际情况的情形或只有标题没有实质性内容等）的扣 0-2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2022年1月1日至今，供应商具有同类业绩，一份同类业绩得2分，本项最高10分。赋分依据：加盖供应商公章的合同复印件或中标通知书复印件。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满足磋商文件要求且最终报价最低的供应商的价格为磋商基准价，其价格得分为满分。其他磋商单位的价格分统一按照下列公式计算：价格分=（评审基准价/最终报价）×10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详见附件：业绩相关证明材料</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详见附件：其他相关资料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