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版本号：HYGH2025-ZCCS-061220250624001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西安市2025年度中央财政林业草原生态保护恢复项目管护总站附属设施改造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HYGH2025-ZCCS-0612</w:t>
      </w:r>
      <w:r>
        <w:br/>
      </w:r>
      <w:r>
        <w:br/>
      </w:r>
      <w:r>
        <w:br/>
      </w:r>
    </w:p>
    <w:p>
      <w:pPr>
        <w:pStyle w:val="null3"/>
        <w:jc w:val="center"/>
        <w:outlineLvl w:val="2"/>
      </w:pPr>
      <w:r>
        <w:rPr>
          <w:rFonts w:ascii="仿宋_GB2312" w:hAnsi="仿宋_GB2312" w:cs="仿宋_GB2312" w:eastAsia="仿宋_GB2312"/>
          <w:sz w:val="28"/>
          <w:b/>
        </w:rPr>
        <w:t>周至县国有厚畛子生态实验林场</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周至县国有厚畛子生态实验林场</w:t>
      </w:r>
      <w:r>
        <w:rPr>
          <w:rFonts w:ascii="仿宋_GB2312" w:hAnsi="仿宋_GB2312" w:cs="仿宋_GB2312" w:eastAsia="仿宋_GB2312"/>
        </w:rPr>
        <w:t>委托，拟对</w:t>
      </w:r>
      <w:r>
        <w:rPr>
          <w:rFonts w:ascii="仿宋_GB2312" w:hAnsi="仿宋_GB2312" w:cs="仿宋_GB2312" w:eastAsia="仿宋_GB2312"/>
        </w:rPr>
        <w:t>西安市2025年度中央财政林业草原生态保护恢复项目管护总站附属设施改造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HYGH2025-ZCCS-0612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西安市2025年度中央财政林业草原生态保护恢复项目管护总站附属设施改造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西安市2025年度中央财政林业草原生态保护恢复项目管护总站附属设施改造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 西安市2025年度中央财政林业草原生态保护恢复项目管护总站附属设施改造）：属于专门面向中小企业采购。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 ：提供2023年度或2024年度完整的财务审计报告或开标时间前六个月内银行出具的资信证明；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 社会保险参保缴费情况证明，依法不需要缴纳社会保障资金的单位应提供相关证明 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7、供应商资质：供应商具有建设行政主管部门颁发的建筑工程施工总承包三级及以上(含三级)资质，且具备有效的安全生产许可证；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8、项目经理资质：拟派项目经理须具有建筑工程专业二级及以上注册建造师资质并具有安全生产考核合格证，在本单位注册且无在建工程（提供无在建承诺书）；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周至县国有厚畛子生态实验林场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周至县国有厚畛子生态实验林场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13572457456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采购包1：1,136,442.33元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周至县国有厚畛子生态实验林场</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周至县国有厚畛子生态实验林场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周至县国有厚畛子生态实验林场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符合国家履约验收质量“合格”标准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联系人：陕西海源广合项目管理有限公司</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邮编：710089</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1,136,442.33</w:t>
      </w:r>
    </w:p>
    <w:p>
      <w:pPr>
        <w:pStyle w:val="null3"/>
      </w:pPr>
      <w:r>
        <w:rPr>
          <w:rFonts w:ascii="仿宋_GB2312" w:hAnsi="仿宋_GB2312" w:cs="仿宋_GB2312" w:eastAsia="仿宋_GB2312"/>
        </w:rPr>
        <w:t>采购包最高限价（元）: 1,136,442.33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西安市2025年度中央财政林业草原生态保护恢复项目管护总站附属设施改造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1,136,442.33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标的名称：西安市2025年度中央财政林业草原生态保护恢复项目管护总站附属设施改造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1、详见电子招标书和工程量清单</w:t>
            </w:r>
          </w:p>
          <w:p>
            <w:pPr>
              <w:pStyle w:val="null3"/>
            </w:pPr>
            <w:r>
              <w:rPr>
                <w:rFonts w:ascii="仿宋_GB2312" w:hAnsi="仿宋_GB2312" w:cs="仿宋_GB2312" w:eastAsia="仿宋_GB2312"/>
                <w:sz w:val="19"/>
                <w:color w:val="000000"/>
              </w:rPr>
              <w:t>2、质量标准：符合国家现行有关施工质量验收规范</w:t>
            </w:r>
            <w:r>
              <w:rPr>
                <w:rFonts w:ascii="仿宋_GB2312" w:hAnsi="仿宋_GB2312" w:cs="仿宋_GB2312" w:eastAsia="仿宋_GB2312"/>
                <w:sz w:val="19"/>
                <w:color w:val="000000"/>
              </w:rPr>
              <w:t>“</w:t>
            </w:r>
            <w:r>
              <w:rPr>
                <w:rFonts w:ascii="仿宋_GB2312" w:hAnsi="仿宋_GB2312" w:cs="仿宋_GB2312" w:eastAsia="仿宋_GB2312"/>
                <w:sz w:val="19"/>
                <w:color w:val="000000"/>
              </w:rPr>
              <w:t>合格</w:t>
            </w:r>
            <w:r>
              <w:rPr>
                <w:rFonts w:ascii="仿宋_GB2312" w:hAnsi="仿宋_GB2312" w:cs="仿宋_GB2312" w:eastAsia="仿宋_GB2312"/>
                <w:sz w:val="19"/>
                <w:color w:val="000000"/>
              </w:rPr>
              <w:t>”</w:t>
            </w:r>
            <w:r>
              <w:rPr>
                <w:rFonts w:ascii="仿宋_GB2312" w:hAnsi="仿宋_GB2312" w:cs="仿宋_GB2312" w:eastAsia="仿宋_GB2312"/>
                <w:sz w:val="19"/>
                <w:color w:val="000000"/>
              </w:rPr>
              <w:t>要求标准</w:t>
            </w:r>
          </w:p>
          <w:p>
            <w:pPr>
              <w:pStyle w:val="null3"/>
            </w:pPr>
            <w:r>
              <w:rPr>
                <w:rFonts w:ascii="仿宋_GB2312" w:hAnsi="仿宋_GB2312" w:cs="仿宋_GB2312" w:eastAsia="仿宋_GB2312"/>
                <w:sz w:val="19"/>
                <w:color w:val="000000"/>
              </w:rPr>
              <w:t>3、工期：自合同签订之日起</w:t>
            </w:r>
            <w:r>
              <w:rPr>
                <w:rFonts w:ascii="仿宋_GB2312" w:hAnsi="仿宋_GB2312" w:cs="仿宋_GB2312" w:eastAsia="仿宋_GB2312"/>
                <w:sz w:val="19"/>
                <w:color w:val="000000"/>
              </w:rPr>
              <w:t>90</w:t>
            </w:r>
            <w:r>
              <w:rPr>
                <w:rFonts w:ascii="仿宋_GB2312" w:hAnsi="仿宋_GB2312" w:cs="仿宋_GB2312" w:eastAsia="仿宋_GB2312"/>
                <w:sz w:val="19"/>
                <w:color w:val="000000"/>
              </w:rPr>
              <w:t>日历天</w:t>
            </w:r>
          </w:p>
          <w:p>
            <w:pPr>
              <w:pStyle w:val="null3"/>
            </w:pPr>
            <w:r>
              <w:rPr>
                <w:rFonts w:ascii="仿宋_GB2312" w:hAnsi="仿宋_GB2312" w:cs="仿宋_GB2312" w:eastAsia="仿宋_GB2312"/>
              </w:rPr>
              <w:t>4、其他需说明的事项:本工程采用招标控制价电子版本:广联达版本号6.4100.23.122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 社会保险参保缴费情况证明，依法不需要缴纳社会保障资金的单位应提供相关证明 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供应商具有建设行政主管部门颁发的建筑工程施工总承包三级及以上(含三级)资质，且具备有效的安全生产许可证；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拟派项目经理须具有建筑工程专业二级及以上注册建造师资质并具有安全生产考核合格证，在本单位注册且无在建工程（提供无在建承诺书）；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 工 部 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进 度 计 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 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方 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 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 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 全 文 明 施 工 措 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 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 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项 目 管 理 机 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 材 料 新 工 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承 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 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