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 w:eastAsia="宋体"/>
          <w:b/>
          <w:bCs/>
          <w:sz w:val="52"/>
          <w:szCs w:val="22"/>
          <w:lang w:eastAsia="zh-CN"/>
        </w:rPr>
        <w:t>2025年周至县全民健身惠民设施项目</w:t>
      </w:r>
      <w:r>
        <w:rPr>
          <w:rFonts w:hint="eastAsia"/>
          <w:b/>
          <w:bCs/>
          <w:sz w:val="52"/>
          <w:szCs w:val="22"/>
        </w:rPr>
        <w:t>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项目委托方（甲方）：周至县文化和旅游体育局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交货期</w:t>
      </w:r>
      <w:r>
        <w:rPr>
          <w:rFonts w:hint="eastAsia" w:ascii="宋体" w:hAnsi="宋体" w:eastAsia="宋体" w:cs="宋体"/>
          <w:sz w:val="24"/>
          <w:szCs w:val="24"/>
        </w:rPr>
        <w:t>：自合同签订之日起60日历天内。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1、合同签订后，达到付款条件起30日内，支付合同总金额的50.00%；完成项目供货、安装调试完毕，达到付款条件起30日内，支付合同总金额的40.00%；验收合格后，达到付款条件起30日内，支付合同总金额的10.00%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日期：                                     日期：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296C8F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7B5372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CA045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E26487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921094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1326</Words>
  <Characters>1359</Characters>
  <Lines>73</Lines>
  <Paragraphs>20</Paragraphs>
  <TotalTime>4</TotalTime>
  <ScaleCrop>false</ScaleCrop>
  <LinksUpToDate>false</LinksUpToDate>
  <CharactersWithSpaces>1599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******</cp:lastModifiedBy>
  <cp:lastPrinted>2023-10-17T01:45:00Z</cp:lastPrinted>
  <dcterms:modified xsi:type="dcterms:W3CDTF">2025-06-29T07:16:28Z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2052-12.1.0.21541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eyJoZGlkIjoiMGFkN2ZkYjAyZWFhMzBkYzQ5ZGY0MjkyMjEyZDAzZTQiLCJ1c2VySWQiOiIzNTY4MTIxOTcifQ==</vt:lpwstr>
  </property>
</Properties>
</file>