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版本号：DHJC2025-ZC-CS03220250605001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2025年周至县农业农村局使用财政衔接资金8镇20村生产路硬化项目监理服务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DHJC2025-ZC-CS032</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陕西鼎汇嘉诚项目管理有限公司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陕西鼎汇嘉诚项目管理有限公司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2025年周至县农业农村局使用财政衔接资金8镇20村生产路硬化项目监理服务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DHJC2025-ZC-CS032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2025年周至县农业农村局使用财政衔接资金8镇20村生产路硬化项目监理服务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2025年周至县农业农村局使用财政衔接资金8镇20村生产路硬化项目监理服务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采购包1（2025年周至县农业农村局使用财政衔接资金8镇20村生产路硬化项目监理服务）：属于专门面向中小企业采购。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1、法定代表人授权书或法定代表人身份证明：提供法定代表人授权书（附法定代表人及被授权人身份证复印件）；法定代表人直接参加投标，须提供法定代表人身份证明</w:t>
      </w:r>
    </w:p>
    <w:p>
      <w:pPr>
        <w:pStyle w:val="null3"/>
      </w:pPr>
      <w:r>
        <w:rPr>
          <w:rFonts w:ascii="仿宋_GB2312" w:hAnsi="仿宋_GB2312" w:cs="仿宋_GB2312" w:eastAsia="仿宋_GB2312"/>
        </w:rPr>
        <w:t>2、企业资质：供应商须具备【工程监理综合资质】或【市政公用工程监理乙级】及以上资质</w:t>
      </w:r>
    </w:p>
    <w:p>
      <w:pPr>
        <w:pStyle w:val="null3"/>
      </w:pPr>
      <w:r>
        <w:rPr>
          <w:rFonts w:ascii="仿宋_GB2312" w:hAnsi="仿宋_GB2312" w:cs="仿宋_GB2312" w:eastAsia="仿宋_GB2312"/>
        </w:rPr>
        <w:t>3、拟派项目总监资质：拟任项目总监须具有住建部颁发的市政公用工程专业国家注册监理工程师执业证书，且未担任其他在建工程项目的项目总监（提供承诺书）</w:t>
      </w:r>
    </w:p>
    <w:p>
      <w:pPr>
        <w:pStyle w:val="null3"/>
      </w:pPr>
      <w:r>
        <w:rPr>
          <w:rFonts w:ascii="仿宋_GB2312" w:hAnsi="仿宋_GB2312" w:cs="仿宋_GB2312" w:eastAsia="仿宋_GB2312"/>
        </w:rPr>
        <w:t>4、信用记录：供应商未被“信用中国”网站（www.creditchina.gov.cn）列入失信被执行人和重大税收违法失信主体，未被中国政府采购网（www.ccgp.gov.cn）列入政府采购严重违法失信行为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陕西鼎汇嘉诚项目管理有限公司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西安市高新区高新三路西高智能大厦10楼1011室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18791915545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下浮10%计算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陕西鼎汇嘉诚项目管理有限公司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陕西鼎汇嘉诚项目管理有限公司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陕西鼎汇嘉诚项目管理有限公司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符合国家现行相关验收规范“合格”要求标准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联系电话：18791915545</w:t>
      </w:r>
    </w:p>
    <w:p>
      <w:pPr>
        <w:pStyle w:val="null3"/>
      </w:pPr>
      <w:r>
        <w:rPr>
          <w:rFonts w:ascii="仿宋_GB2312" w:hAnsi="仿宋_GB2312" w:cs="仿宋_GB2312" w:eastAsia="仿宋_GB2312"/>
        </w:rPr>
        <w:t>地址：西安市高新区高新三路西高智能大厦10楼1011室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2025年周至县农业农村局使用财政衔接资金8镇20村生产路硬化项目监理服务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2025年周至县农业农村局使用财政衔接资金8镇20村生产路硬化项目监理服务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标的名称：2025年周至县农业农村局使用财政衔接资金8镇20村生产路硬化项目监理服务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18"/>
                <w:shd w:fill="FFFFFF" w:val="clear"/>
              </w:rPr>
              <w:t>服务期：120日历天（8镇20村施工项目监理全部服务完成）</w:t>
            </w:r>
          </w:p>
          <w:p>
            <w:pPr>
              <w:pStyle w:val="null3"/>
              <w:jc w:val="left"/>
            </w:pPr>
            <w:r>
              <w:rPr>
                <w:rFonts w:ascii="仿宋_GB2312" w:hAnsi="仿宋_GB2312" w:cs="仿宋_GB2312" w:eastAsia="仿宋_GB2312"/>
                <w:sz w:val="18"/>
                <w:shd w:fill="FFFFFF" w:val="clear"/>
              </w:rPr>
              <w:t>服务地点：采购人指定地点</w:t>
            </w:r>
          </w:p>
          <w:p>
            <w:pPr>
              <w:pStyle w:val="null3"/>
              <w:jc w:val="left"/>
            </w:pPr>
            <w:r>
              <w:rPr>
                <w:rFonts w:ascii="仿宋_GB2312" w:hAnsi="仿宋_GB2312" w:cs="仿宋_GB2312" w:eastAsia="仿宋_GB2312"/>
                <w:sz w:val="18"/>
                <w:shd w:fill="FFFFFF" w:val="clear"/>
              </w:rPr>
              <w:t>服务内容：2025年周至县农业农村局使用财政衔接资金8镇20村生产路硬化项目监理服务（广济镇北留村、广济镇黄兴村、翠峰镇官村、广济镇小麦屯村、翠峰镇东红村、翠峰镇五联村、哑柏镇五联村、青化镇滹沱寨村、哑柏镇仰天村、竹峪镇西裕村、竹峪镇岭梅村、竹峪镇五星村、青化镇青化村、骆峪镇复兴寨村、骆峪镇尚兴村、四屯镇东阳化村、马召镇富饶村、四屯镇东风村、四屯镇三联村、翠峰镇新联村）</w:t>
            </w:r>
          </w:p>
          <w:p>
            <w:pPr>
              <w:pStyle w:val="null3"/>
              <w:jc w:val="left"/>
            </w:pPr>
            <w:r>
              <w:rPr>
                <w:rFonts w:ascii="仿宋_GB2312" w:hAnsi="仿宋_GB2312" w:cs="仿宋_GB2312" w:eastAsia="仿宋_GB2312"/>
                <w:sz w:val="18"/>
                <w:shd w:fill="FFFFFF" w:val="clear"/>
              </w:rPr>
              <w:t>服务要求：符合国家现行相关验收规范“合格”要求标准</w:t>
            </w:r>
          </w:p>
          <w:p>
            <w:pPr>
              <w:pStyle w:val="null3"/>
              <w:jc w:val="left"/>
            </w:pPr>
            <w:r>
              <w:rPr>
                <w:rFonts w:ascii="仿宋_GB2312" w:hAnsi="仿宋_GB2312" w:cs="仿宋_GB2312" w:eastAsia="仿宋_GB2312"/>
                <w:sz w:val="18"/>
                <w:shd w:fill="FFFFFF" w:val="clear"/>
              </w:rPr>
              <w:t>付款方式：(1)预付款支付：合同签订后1个月内，工程项目进驻现场开工后，达到付款条件起20日内，支付合同总金额的30.00%；</w:t>
            </w:r>
          </w:p>
          <w:p>
            <w:pPr>
              <w:pStyle w:val="null3"/>
              <w:jc w:val="left"/>
            </w:pPr>
            <w:r>
              <w:rPr>
                <w:rFonts w:ascii="仿宋_GB2312" w:hAnsi="仿宋_GB2312" w:cs="仿宋_GB2312" w:eastAsia="仿宋_GB2312"/>
                <w:sz w:val="18"/>
                <w:shd w:fill="FFFFFF" w:val="clear"/>
              </w:rPr>
              <w:t>(2)进度款的支付：按工程进度支付，项目资金下达后，达到付款条件起60日内，支付合同总金额的50.00%；</w:t>
            </w:r>
          </w:p>
          <w:p>
            <w:pPr>
              <w:pStyle w:val="null3"/>
            </w:pPr>
            <w:r>
              <w:rPr>
                <w:rFonts w:ascii="仿宋_GB2312" w:hAnsi="仿宋_GB2312" w:cs="仿宋_GB2312" w:eastAsia="仿宋_GB2312"/>
                <w:sz w:val="18"/>
                <w:shd w:fill="FFFFFF" w:val="clear"/>
              </w:rPr>
              <w:t>(3)完工款的支付：项目验收合格，项目资金下达后，达到付款条件起60日内，支付合同总金额的20.00%。</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18"/>
                <w:shd w:fill="FFFFFF" w:val="clear"/>
              </w:rPr>
              <w:t>一、技术要求：</w:t>
            </w:r>
          </w:p>
          <w:p>
            <w:pPr>
              <w:pStyle w:val="null3"/>
              <w:jc w:val="left"/>
            </w:pPr>
            <w:r>
              <w:rPr>
                <w:rFonts w:ascii="仿宋_GB2312" w:hAnsi="仿宋_GB2312" w:cs="仿宋_GB2312" w:eastAsia="仿宋_GB2312"/>
                <w:sz w:val="18"/>
                <w:shd w:fill="FFFFFF" w:val="clear"/>
              </w:rPr>
              <w:t>（一）除甲方财产外，其他为完成本项目监理工作需要的设备、设施、标准规范、交通工具、办公设备设施、试验检测仪器、安全防护设施等均由监理人自备，费用自理。</w:t>
            </w:r>
          </w:p>
          <w:p>
            <w:pPr>
              <w:pStyle w:val="null3"/>
              <w:jc w:val="left"/>
            </w:pPr>
            <w:r>
              <w:rPr>
                <w:rFonts w:ascii="仿宋_GB2312" w:hAnsi="仿宋_GB2312" w:cs="仿宋_GB2312" w:eastAsia="仿宋_GB2312"/>
                <w:sz w:val="18"/>
                <w:shd w:fill="FFFFFF" w:val="clear"/>
              </w:rPr>
              <w:t>（二）乙方自备的工作条件必须满足《建设工程监理规范》（GB 50319-2013）相关法律法规和《建筑工程资料管理规程》T/SCIA-2020标准要求。</w:t>
            </w:r>
          </w:p>
          <w:p>
            <w:pPr>
              <w:pStyle w:val="null3"/>
              <w:jc w:val="left"/>
            </w:pPr>
            <w:r>
              <w:rPr>
                <w:rFonts w:ascii="仿宋_GB2312" w:hAnsi="仿宋_GB2312" w:cs="仿宋_GB2312" w:eastAsia="仿宋_GB2312"/>
                <w:sz w:val="18"/>
                <w:shd w:fill="FFFFFF" w:val="clear"/>
              </w:rPr>
              <w:t>（三）</w:t>
            </w:r>
            <w:r>
              <w:rPr>
                <w:rFonts w:ascii="仿宋_GB2312" w:hAnsi="仿宋_GB2312" w:cs="仿宋_GB2312" w:eastAsia="仿宋_GB2312"/>
                <w:sz w:val="18"/>
                <w:shd w:fill="FFFFFF" w:val="clear"/>
              </w:rPr>
              <w:t>乙方应建立本项目进度、造价、质量等的监控机制，如发现与预期目标有偏离，第一时间向甲方发出预警信息，并提出纠偏措施。</w:t>
            </w:r>
          </w:p>
          <w:p>
            <w:pPr>
              <w:pStyle w:val="null3"/>
              <w:jc w:val="left"/>
            </w:pPr>
            <w:r>
              <w:rPr>
                <w:rFonts w:ascii="仿宋_GB2312" w:hAnsi="仿宋_GB2312" w:cs="仿宋_GB2312" w:eastAsia="仿宋_GB2312"/>
                <w:sz w:val="18"/>
                <w:shd w:fill="FFFFFF" w:val="clear"/>
              </w:rPr>
              <w:t>（四）乙方必须无条件配合甲方办理本项目有关许可、检测、鉴定、验收、备案等手续，乙方因配合完成上述工作而产生的费用自理。</w:t>
            </w:r>
          </w:p>
          <w:p>
            <w:pPr>
              <w:pStyle w:val="null3"/>
              <w:jc w:val="left"/>
            </w:pPr>
            <w:r>
              <w:rPr>
                <w:rFonts w:ascii="仿宋_GB2312" w:hAnsi="仿宋_GB2312" w:cs="仿宋_GB2312" w:eastAsia="仿宋_GB2312"/>
                <w:sz w:val="18"/>
                <w:shd w:fill="FFFFFF" w:val="clear"/>
              </w:rPr>
              <w:t>（五）乙方应保存本项目自开工至正式竣工期间的影像资料，特别是隐蔽工程验收的现场影像资料，并定期向甲方转交上述资料。</w:t>
            </w:r>
          </w:p>
          <w:p>
            <w:pPr>
              <w:pStyle w:val="null3"/>
              <w:jc w:val="left"/>
            </w:pPr>
            <w:r>
              <w:rPr>
                <w:rFonts w:ascii="仿宋_GB2312" w:hAnsi="仿宋_GB2312" w:cs="仿宋_GB2312" w:eastAsia="仿宋_GB2312"/>
                <w:sz w:val="18"/>
                <w:shd w:fill="FFFFFF" w:val="clear"/>
              </w:rPr>
              <w:t>（六）对于施工过程中出现的质量安全事故，乙方应第一时间通知甲方，及时保存现场证据、资料证据等，并将上述证据转交甲方。</w:t>
            </w:r>
          </w:p>
          <w:p>
            <w:pPr>
              <w:pStyle w:val="null3"/>
              <w:jc w:val="left"/>
            </w:pPr>
            <w:r>
              <w:rPr>
                <w:rFonts w:ascii="仿宋_GB2312" w:hAnsi="仿宋_GB2312" w:cs="仿宋_GB2312" w:eastAsia="仿宋_GB2312"/>
                <w:sz w:val="18"/>
                <w:shd w:fill="FFFFFF" w:val="clear"/>
              </w:rPr>
              <w:t>（七）乙方应对本项目变更图纸、二次深化设计图纸，依据相关资料、标准规范、工程实际等进行审核，并及时将审核结果提交甲方。</w:t>
            </w:r>
          </w:p>
          <w:p>
            <w:pPr>
              <w:pStyle w:val="null3"/>
              <w:jc w:val="left"/>
            </w:pPr>
            <w:r>
              <w:rPr>
                <w:rFonts w:ascii="仿宋_GB2312" w:hAnsi="仿宋_GB2312" w:cs="仿宋_GB2312" w:eastAsia="仿宋_GB2312"/>
                <w:sz w:val="18"/>
                <w:shd w:fill="FFFFFF" w:val="clear"/>
              </w:rPr>
              <w:t>（八）在本项目保修期内，乙方接到甲方工程质量问题检查通知时，乙方应无条件到达工程现场：检查质量状况，鉴定质量问题责任，督促责任单位修理。</w:t>
            </w:r>
          </w:p>
          <w:p>
            <w:pPr>
              <w:pStyle w:val="null3"/>
              <w:jc w:val="left"/>
            </w:pPr>
            <w:r>
              <w:rPr>
                <w:rFonts w:ascii="仿宋_GB2312" w:hAnsi="仿宋_GB2312" w:cs="仿宋_GB2312" w:eastAsia="仿宋_GB2312"/>
                <w:sz w:val="18"/>
                <w:shd w:fill="FFFFFF" w:val="clear"/>
              </w:rPr>
              <w:t>二、服务要求：</w:t>
            </w:r>
          </w:p>
          <w:p>
            <w:pPr>
              <w:pStyle w:val="null3"/>
              <w:jc w:val="both"/>
            </w:pPr>
            <w:r>
              <w:rPr>
                <w:rFonts w:ascii="仿宋_GB2312" w:hAnsi="仿宋_GB2312" w:cs="仿宋_GB2312" w:eastAsia="仿宋_GB2312"/>
                <w:sz w:val="18"/>
                <w:shd w:fill="FFFFFF" w:val="clear"/>
              </w:rPr>
              <w:t>甲方要求乙方派专人留驻施工现场进行配合与解决有关问题，配合甲方对施工现场进行监督管理、对所有进场材料进行检测及验收、对施工人员进行监督及安全教育。</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满足磋商文件中要求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满足磋商文件中要求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120日历天（8镇20村施工项目监理全部服务完成）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符合国家现行相关验收规范“合格”要求标准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预付款支付：合同签订后1个月内，工程项目进驻现场开工后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进度款的支付：按工程进度支付，项目资金下达后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完工款的支付：项目验收合格，项目资金下达后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单位在领取成交通知书前，须向采购代理机构提供纸质版响应文件3套（1正2副），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供应商需在项目电子化交易系统中按要求填写《投标函》完成承诺并进行电子签章，同时提供以下资料： 1.提供合格有效的法人或者其他组织的营业执照等证明文件，自然人的身份证明（供应商是法人或其他组织的应提供营业执照等证明文件，供应商是自然人的应提供有效的自然人身份证明）； 2.提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投标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5.提供投标文件递交截止时间前一年内已缴存的至少一个月的社会保障资金缴存单据或社保机构开具的社会保险参保缴费情况证明，依法不需要缴纳社会保障资金的供应商应提供相应证明文件；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响应文件封面 服务内容及服务邀请应答表 响应函 资格证明文件.docx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供应商需在项目电子化交易系统中上传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提供法定代表人授权书（附法定代表人及被授权人身份证复印件）；法定代表人直接参加投标，须提供法定代表人身份证明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供应商须具备【工程监理综合资质】或【市政公用工程监理乙级】及以上资质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拟派项目总监资质</w:t>
            </w:r>
          </w:p>
        </w:tc>
        <w:tc>
          <w:tcPr>
            <w:tcW w:type="dxa" w:w="3322"/>
          </w:tcPr>
          <w:p>
            <w:pPr>
              <w:pStyle w:val="null3"/>
            </w:pPr>
            <w:r>
              <w:rPr>
                <w:rFonts w:ascii="仿宋_GB2312" w:hAnsi="仿宋_GB2312" w:cs="仿宋_GB2312" w:eastAsia="仿宋_GB2312"/>
              </w:rPr>
              <w:t>拟任项目总监须具有住建部颁发的市政公用工程专业国家注册监理工程师执业证书，且未担任其他在建工程项目的项目总监（提供承诺书）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磋商响应文件上法定代表人或其授权代表人按要求签字，加盖公章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报价唯一，未超预算</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服务要求</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重点、难点及解决对策</w:t>
            </w:r>
          </w:p>
        </w:tc>
        <w:tc>
          <w:tcPr>
            <w:tcW w:type="dxa" w:w="2492"/>
          </w:tcPr>
          <w:p>
            <w:pPr>
              <w:pStyle w:val="null3"/>
            </w:pPr>
            <w:r>
              <w:rPr>
                <w:rFonts w:ascii="仿宋_GB2312" w:hAnsi="仿宋_GB2312" w:cs="仿宋_GB2312" w:eastAsia="仿宋_GB2312"/>
              </w:rPr>
              <w:t>根据对监理工作的①重点、难点分析、②解决对策的响应程度。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工作程序、方法和制度</w:t>
            </w:r>
          </w:p>
        </w:tc>
        <w:tc>
          <w:tcPr>
            <w:tcW w:type="dxa" w:w="2492"/>
          </w:tcPr>
          <w:p>
            <w:pPr>
              <w:pStyle w:val="null3"/>
            </w:pPr>
            <w:r>
              <w:rPr>
                <w:rFonts w:ascii="仿宋_GB2312" w:hAnsi="仿宋_GB2312" w:cs="仿宋_GB2312" w:eastAsia="仿宋_GB2312"/>
              </w:rPr>
              <w:t>根据对监理的①工作程序、②工作方法、③工作制度的响应程度。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合同和信息管理</w:t>
            </w:r>
          </w:p>
        </w:tc>
        <w:tc>
          <w:tcPr>
            <w:tcW w:type="dxa" w:w="2492"/>
          </w:tcPr>
          <w:p>
            <w:pPr>
              <w:pStyle w:val="null3"/>
            </w:pPr>
            <w:r>
              <w:rPr>
                <w:rFonts w:ascii="仿宋_GB2312" w:hAnsi="仿宋_GB2312" w:cs="仿宋_GB2312" w:eastAsia="仿宋_GB2312"/>
              </w:rPr>
              <w:t>根据对①合同管理、②信息管理的响应程度。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监理范围、服务内容及依据</w:t>
            </w:r>
          </w:p>
        </w:tc>
        <w:tc>
          <w:tcPr>
            <w:tcW w:type="dxa" w:w="2492"/>
          </w:tcPr>
          <w:p>
            <w:pPr>
              <w:pStyle w:val="null3"/>
            </w:pPr>
            <w:r>
              <w:rPr>
                <w:rFonts w:ascii="仿宋_GB2312" w:hAnsi="仿宋_GB2312" w:cs="仿宋_GB2312" w:eastAsia="仿宋_GB2312"/>
              </w:rPr>
              <w:t>根据对①监理范围、②服务内容、③监理依据的响应程度。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监理机构及人员配置</w:t>
            </w:r>
          </w:p>
        </w:tc>
        <w:tc>
          <w:tcPr>
            <w:tcW w:type="dxa" w:w="2492"/>
          </w:tcPr>
          <w:p>
            <w:pPr>
              <w:pStyle w:val="null3"/>
            </w:pPr>
            <w:r>
              <w:rPr>
                <w:rFonts w:ascii="仿宋_GB2312" w:hAnsi="仿宋_GB2312" w:cs="仿宋_GB2312" w:eastAsia="仿宋_GB2312"/>
              </w:rPr>
              <w:t>根据对监理①机构设置、②组成人员、③岗位职责、业务素质的响应程度。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 注：业务素质证明不限于证书、职称等相关经验证明材料。</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拟投入试验检测设备配置</w:t>
            </w:r>
          </w:p>
        </w:tc>
        <w:tc>
          <w:tcPr>
            <w:tcW w:type="dxa" w:w="2492"/>
          </w:tcPr>
          <w:p>
            <w:pPr>
              <w:pStyle w:val="null3"/>
            </w:pPr>
            <w:r>
              <w:rPr>
                <w:rFonts w:ascii="仿宋_GB2312" w:hAnsi="仿宋_GB2312" w:cs="仿宋_GB2312" w:eastAsia="仿宋_GB2312"/>
              </w:rPr>
              <w:t>根据对拟投入试验检测设备配置响应程度。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安全、进度、环境、资金控制措施</w:t>
            </w:r>
          </w:p>
        </w:tc>
        <w:tc>
          <w:tcPr>
            <w:tcW w:type="dxa" w:w="2492"/>
          </w:tcPr>
          <w:p>
            <w:pPr>
              <w:pStyle w:val="null3"/>
            </w:pPr>
            <w:r>
              <w:rPr>
                <w:rFonts w:ascii="仿宋_GB2312" w:hAnsi="仿宋_GB2312" w:cs="仿宋_GB2312" w:eastAsia="仿宋_GB2312"/>
              </w:rPr>
              <w:t>根据对①安全控制、②进度控制、③环境控制、④资金控制措施的响应程度。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w:t>
            </w:r>
          </w:p>
        </w:tc>
        <w:tc>
          <w:tcPr>
            <w:tcW w:type="dxa" w:w="2492"/>
          </w:tcPr>
          <w:p>
            <w:pPr>
              <w:pStyle w:val="null3"/>
            </w:pPr>
            <w:r>
              <w:rPr>
                <w:rFonts w:ascii="仿宋_GB2312" w:hAnsi="仿宋_GB2312" w:cs="仿宋_GB2312" w:eastAsia="仿宋_GB2312"/>
              </w:rPr>
              <w:t>根据对监理①质量依据、②问题处理对策、③质量保证措施的响应程度。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根据对本项目理解程度提出有利于采购人或项目实施的合理化建议。 合理化建议全面具体、针对性强、科学可行的得3分； 合理化建议较为具体、针对性较好、细节待完善、基本可行的得2分； 合理化建议不全面、内容笼统、针对性差的得1分； 未提供或脱离项目实际的不得分。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成果档案管理措施</w:t>
            </w:r>
          </w:p>
        </w:tc>
        <w:tc>
          <w:tcPr>
            <w:tcW w:type="dxa" w:w="2492"/>
          </w:tcPr>
          <w:p>
            <w:pPr>
              <w:pStyle w:val="null3"/>
            </w:pPr>
            <w:r>
              <w:rPr>
                <w:rFonts w:ascii="仿宋_GB2312" w:hAnsi="仿宋_GB2312" w:cs="仿宋_GB2312" w:eastAsia="仿宋_GB2312"/>
              </w:rPr>
              <w:t>根据对成果档案管理的响应程度。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廉洁、保密</w:t>
            </w:r>
          </w:p>
        </w:tc>
        <w:tc>
          <w:tcPr>
            <w:tcW w:type="dxa" w:w="2492"/>
          </w:tcPr>
          <w:p>
            <w:pPr>
              <w:pStyle w:val="null3"/>
            </w:pPr>
            <w:r>
              <w:rPr>
                <w:rFonts w:ascii="仿宋_GB2312" w:hAnsi="仿宋_GB2312" w:cs="仿宋_GB2312" w:eastAsia="仿宋_GB2312"/>
              </w:rPr>
              <w:t>针对本项目有严格的廉洁、保密措施承诺，承诺得2分，无承诺不得分。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具有2022年5月1日起至今（以合同实际签订时间为准）类似项目业绩，业绩以合同扫描件（复印件）为依据；每提供1个业绩得3分，最多得9分。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 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详见附件：监理合同.docx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